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9A0" w:rsidRPr="00EC3DB5"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b/>
          <w:lang w:val="da-DK"/>
        </w:rPr>
      </w:pPr>
    </w:p>
    <w:p w:rsidR="000C39A0" w:rsidRPr="00EC3DB5"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b/>
          <w:lang w:val="da-DK"/>
        </w:rPr>
      </w:pPr>
    </w:p>
    <w:p w:rsidR="000C39A0" w:rsidRPr="00EC3DB5"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b/>
          <w:lang w:val="da-DK"/>
        </w:rPr>
      </w:pPr>
    </w:p>
    <w:p w:rsidR="000C39A0" w:rsidRPr="00EC3DB5"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b/>
          <w:lang w:val="da-DK"/>
        </w:rPr>
      </w:pPr>
    </w:p>
    <w:p w:rsidR="000C39A0" w:rsidRPr="00EC3DB5"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b/>
          <w:lang w:val="da-DK"/>
        </w:rPr>
      </w:pPr>
    </w:p>
    <w:p w:rsidR="000C39A0" w:rsidRPr="00EC3DB5"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b/>
          <w:sz w:val="48"/>
          <w:szCs w:val="48"/>
          <w:lang w:val="da-DK"/>
        </w:rPr>
      </w:pPr>
    </w:p>
    <w:p w:rsidR="000C39A0" w:rsidRPr="00EC3DB5" w:rsidRDefault="00C35602" w:rsidP="004B0EB8">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48"/>
          <w:szCs w:val="48"/>
        </w:rPr>
      </w:pPr>
      <w:r>
        <w:rPr>
          <w:rFonts w:ascii="Garamond" w:hAnsi="Garamond" w:cstheme="minorHAnsi"/>
          <w:b/>
          <w:sz w:val="48"/>
          <w:szCs w:val="48"/>
        </w:rPr>
        <w:t>First trimester exposure to methylphenidate</w:t>
      </w:r>
      <w:r w:rsidR="004B0EB8" w:rsidRPr="00EC3DB5">
        <w:rPr>
          <w:rFonts w:ascii="Garamond" w:hAnsi="Garamond" w:cstheme="minorHAnsi"/>
          <w:b/>
          <w:sz w:val="48"/>
          <w:szCs w:val="48"/>
        </w:rPr>
        <w:t xml:space="preserve">: </w:t>
      </w:r>
      <w:r w:rsidR="00976B64" w:rsidRPr="00EC3DB5">
        <w:rPr>
          <w:rFonts w:ascii="Garamond" w:hAnsi="Garamond" w:cstheme="minorHAnsi"/>
          <w:b/>
          <w:sz w:val="48"/>
          <w:szCs w:val="48"/>
        </w:rPr>
        <w:br/>
      </w:r>
      <w:r w:rsidR="004B0EB8" w:rsidRPr="00EC3DB5">
        <w:rPr>
          <w:rFonts w:ascii="Garamond" w:hAnsi="Garamond" w:cstheme="minorHAnsi"/>
          <w:b/>
          <w:sz w:val="48"/>
          <w:szCs w:val="48"/>
        </w:rPr>
        <w:t>a population based cohort study</w:t>
      </w:r>
    </w:p>
    <w:p w:rsidR="000C39A0" w:rsidRPr="00EC3DB5"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rPr>
      </w:pPr>
    </w:p>
    <w:p w:rsidR="00FF2FCE" w:rsidRPr="00EC3DB5" w:rsidRDefault="00FF2FCE"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40"/>
          <w:szCs w:val="40"/>
        </w:rPr>
      </w:pPr>
    </w:p>
    <w:p w:rsidR="00FF2FCE" w:rsidRPr="00CD3CE7" w:rsidRDefault="00081864"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40"/>
          <w:szCs w:val="40"/>
        </w:rPr>
      </w:pPr>
      <w:r w:rsidRPr="00CD3CE7">
        <w:rPr>
          <w:rFonts w:ascii="Garamond" w:hAnsi="Garamond" w:cstheme="minorHAnsi"/>
          <w:sz w:val="40"/>
          <w:szCs w:val="40"/>
        </w:rPr>
        <w:t>Study Protocol</w:t>
      </w:r>
    </w:p>
    <w:p w:rsidR="00FF2FCE" w:rsidRPr="00CD3CE7" w:rsidRDefault="00FF2FCE"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rPr>
      </w:pPr>
    </w:p>
    <w:p w:rsidR="00FF2FCE" w:rsidRPr="00CD3CE7" w:rsidRDefault="00FF2FCE"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rPr>
      </w:pPr>
    </w:p>
    <w:p w:rsidR="00FF2FCE" w:rsidRPr="00CD3CE7" w:rsidRDefault="00FF2FCE"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rPr>
      </w:pPr>
    </w:p>
    <w:p w:rsidR="000C39A0" w:rsidRPr="00FE55DE" w:rsidRDefault="00081864"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rPr>
      </w:pPr>
      <w:r w:rsidRPr="00FE55DE">
        <w:rPr>
          <w:rFonts w:ascii="Garamond" w:hAnsi="Garamond" w:cstheme="minorHAnsi"/>
          <w:sz w:val="28"/>
          <w:szCs w:val="28"/>
        </w:rPr>
        <w:t>Anton Pottegård</w:t>
      </w:r>
    </w:p>
    <w:p w:rsidR="00D96BAD" w:rsidRPr="00073F47" w:rsidRDefault="00D96BAD" w:rsidP="00D96BAD">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lang w:val="sv-SE"/>
        </w:rPr>
      </w:pPr>
      <w:r w:rsidRPr="00073F47">
        <w:rPr>
          <w:rFonts w:ascii="Garamond" w:hAnsi="Garamond" w:cstheme="minorHAnsi"/>
          <w:sz w:val="28"/>
          <w:szCs w:val="28"/>
          <w:lang w:val="sv-SE"/>
        </w:rPr>
        <w:t>Jesper Hallas</w:t>
      </w:r>
    </w:p>
    <w:p w:rsidR="00DA73FD" w:rsidRPr="00FE55DE" w:rsidRDefault="00DA73FD"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lang w:val="da-DK"/>
        </w:rPr>
      </w:pPr>
      <w:r w:rsidRPr="00FE55DE">
        <w:rPr>
          <w:rFonts w:ascii="Garamond" w:hAnsi="Garamond" w:cstheme="minorHAnsi"/>
          <w:sz w:val="28"/>
          <w:szCs w:val="28"/>
          <w:lang w:val="da-DK"/>
        </w:rPr>
        <w:t>Jon Trærup Andersen</w:t>
      </w:r>
    </w:p>
    <w:p w:rsidR="00FC05CA" w:rsidRPr="008C6F61" w:rsidRDefault="00081864" w:rsidP="00FC05CA">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lang w:val="da-DK"/>
        </w:rPr>
      </w:pPr>
      <w:r w:rsidRPr="008C6F61">
        <w:rPr>
          <w:rFonts w:ascii="Garamond" w:hAnsi="Garamond" w:cstheme="minorHAnsi"/>
          <w:sz w:val="28"/>
          <w:szCs w:val="28"/>
          <w:lang w:val="da-DK"/>
        </w:rPr>
        <w:t>Ellen Løkkegaard</w:t>
      </w:r>
    </w:p>
    <w:p w:rsidR="000C39A0" w:rsidRPr="00FE55DE" w:rsidRDefault="00FC05CA"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lang w:val="da-DK"/>
        </w:rPr>
      </w:pPr>
      <w:r w:rsidRPr="00FE55DE">
        <w:rPr>
          <w:rFonts w:ascii="Garamond" w:hAnsi="Garamond" w:cstheme="minorHAnsi"/>
          <w:sz w:val="28"/>
          <w:szCs w:val="28"/>
          <w:lang w:val="da-DK"/>
        </w:rPr>
        <w:t>D</w:t>
      </w:r>
      <w:r w:rsidR="000C39A0" w:rsidRPr="00FE55DE">
        <w:rPr>
          <w:rFonts w:ascii="Garamond" w:hAnsi="Garamond" w:cstheme="minorHAnsi"/>
          <w:sz w:val="28"/>
          <w:szCs w:val="28"/>
          <w:lang w:val="da-DK"/>
        </w:rPr>
        <w:t>orthe Dideriksen</w:t>
      </w:r>
    </w:p>
    <w:p w:rsidR="006A1BAF" w:rsidRPr="00D96BAD" w:rsidRDefault="006A1BAF" w:rsidP="006A1BA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rPr>
      </w:pPr>
      <w:r w:rsidRPr="00D96BAD">
        <w:rPr>
          <w:rFonts w:ascii="Garamond" w:hAnsi="Garamond" w:cstheme="minorHAnsi"/>
          <w:sz w:val="28"/>
          <w:szCs w:val="28"/>
        </w:rPr>
        <w:t>Lise Aagaard</w:t>
      </w:r>
    </w:p>
    <w:p w:rsidR="000C39A0" w:rsidRPr="00D5233C"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theme="minorHAnsi"/>
          <w:sz w:val="28"/>
          <w:szCs w:val="28"/>
        </w:rPr>
      </w:pPr>
      <w:r w:rsidRPr="00D5233C">
        <w:rPr>
          <w:rFonts w:ascii="Garamond" w:hAnsi="Garamond" w:cstheme="minorHAnsi"/>
          <w:sz w:val="28"/>
          <w:szCs w:val="28"/>
        </w:rPr>
        <w:t>Per Damkier</w:t>
      </w:r>
    </w:p>
    <w:p w:rsidR="000C39A0" w:rsidRPr="00D96BAD" w:rsidRDefault="000C39A0" w:rsidP="000C39A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276" w:lineRule="auto"/>
        <w:rPr>
          <w:rFonts w:ascii="Garamond" w:hAnsi="Garamond" w:cstheme="minorHAnsi"/>
        </w:rPr>
      </w:pPr>
    </w:p>
    <w:p w:rsidR="000C39A0" w:rsidRPr="00297C1F" w:rsidRDefault="00F947F9">
      <w:pPr>
        <w:spacing w:after="200" w:line="276" w:lineRule="auto"/>
        <w:rPr>
          <w:rFonts w:ascii="Garamond" w:hAnsi="Garamond" w:cstheme="minorHAnsi"/>
          <w:b/>
          <w:sz w:val="28"/>
        </w:rPr>
      </w:pPr>
      <w:r w:rsidRPr="00297C1F">
        <w:rPr>
          <w:rFonts w:ascii="Garamond" w:hAnsi="Garamond" w:cstheme="minorHAnsi"/>
          <w:b/>
          <w:sz w:val="28"/>
        </w:rPr>
        <w:br w:type="page"/>
      </w:r>
    </w:p>
    <w:p w:rsidR="000C39A0" w:rsidRPr="000D2568" w:rsidRDefault="00FF2FCE" w:rsidP="00D67B18">
      <w:pPr>
        <w:spacing w:before="120" w:line="360" w:lineRule="auto"/>
        <w:jc w:val="both"/>
        <w:rPr>
          <w:rFonts w:ascii="Garamond" w:hAnsi="Garamond" w:cs="Arial"/>
          <w:b/>
          <w:sz w:val="28"/>
          <w:szCs w:val="28"/>
        </w:rPr>
      </w:pPr>
      <w:r w:rsidRPr="000D2568">
        <w:rPr>
          <w:rFonts w:ascii="Garamond" w:hAnsi="Garamond" w:cs="Arial"/>
          <w:b/>
          <w:sz w:val="28"/>
          <w:szCs w:val="28"/>
        </w:rPr>
        <w:lastRenderedPageBreak/>
        <w:t>Introduction</w:t>
      </w:r>
      <w:r w:rsidR="000A2DC3" w:rsidRPr="000D2568">
        <w:rPr>
          <w:rFonts w:ascii="Garamond" w:hAnsi="Garamond" w:cs="Arial"/>
          <w:b/>
          <w:sz w:val="28"/>
          <w:szCs w:val="28"/>
        </w:rPr>
        <w:t xml:space="preserve"> </w:t>
      </w:r>
    </w:p>
    <w:p w:rsidR="003D520A" w:rsidRPr="00D67B18" w:rsidRDefault="00453256" w:rsidP="00D67B18">
      <w:pPr>
        <w:spacing w:before="120" w:line="360" w:lineRule="auto"/>
        <w:jc w:val="both"/>
        <w:rPr>
          <w:rFonts w:ascii="Garamond" w:hAnsi="Garamond" w:cs="Arial"/>
          <w:szCs w:val="24"/>
        </w:rPr>
      </w:pPr>
      <w:r>
        <w:rPr>
          <w:rFonts w:ascii="Garamond" w:hAnsi="Garamond" w:cs="Arial"/>
          <w:szCs w:val="24"/>
        </w:rPr>
        <w:t>[</w:t>
      </w:r>
      <w:r w:rsidRPr="00453256">
        <w:rPr>
          <w:rFonts w:ascii="Garamond" w:hAnsi="Garamond" w:cs="Arial"/>
          <w:szCs w:val="24"/>
          <w:highlight w:val="yellow"/>
        </w:rPr>
        <w:t>New version pending!</w:t>
      </w:r>
      <w:r>
        <w:rPr>
          <w:rFonts w:ascii="Garamond" w:hAnsi="Garamond" w:cs="Arial"/>
          <w:szCs w:val="24"/>
        </w:rPr>
        <w:t>]</w:t>
      </w:r>
    </w:p>
    <w:p w:rsidR="00581AC6" w:rsidRPr="00D67B18" w:rsidRDefault="00581AC6" w:rsidP="00D67B18">
      <w:pPr>
        <w:spacing w:before="120" w:line="360" w:lineRule="auto"/>
        <w:jc w:val="both"/>
        <w:rPr>
          <w:rFonts w:ascii="Garamond" w:hAnsi="Garamond" w:cs="Arial"/>
          <w:b/>
          <w:szCs w:val="24"/>
        </w:rPr>
      </w:pPr>
    </w:p>
    <w:p w:rsidR="00FF2FCE" w:rsidRPr="000D2568" w:rsidRDefault="00FF2FCE" w:rsidP="00D67B18">
      <w:pPr>
        <w:spacing w:before="120" w:line="360" w:lineRule="auto"/>
        <w:jc w:val="both"/>
        <w:rPr>
          <w:rFonts w:ascii="Garamond" w:hAnsi="Garamond" w:cs="Arial"/>
          <w:b/>
          <w:sz w:val="28"/>
          <w:szCs w:val="28"/>
        </w:rPr>
      </w:pPr>
      <w:r w:rsidRPr="000D2568">
        <w:rPr>
          <w:rFonts w:ascii="Garamond" w:hAnsi="Garamond" w:cs="Arial"/>
          <w:b/>
          <w:sz w:val="28"/>
          <w:szCs w:val="28"/>
        </w:rPr>
        <w:t>Method</w:t>
      </w:r>
    </w:p>
    <w:p w:rsidR="00657924" w:rsidRDefault="00657924" w:rsidP="00D67B18">
      <w:pPr>
        <w:spacing w:before="120" w:line="360" w:lineRule="auto"/>
        <w:jc w:val="both"/>
        <w:rPr>
          <w:rFonts w:ascii="Garamond" w:hAnsi="Garamond" w:cs="Arial"/>
          <w:szCs w:val="24"/>
        </w:rPr>
      </w:pPr>
      <w:r w:rsidRPr="00D67B18">
        <w:rPr>
          <w:rFonts w:ascii="Garamond" w:hAnsi="Garamond" w:cs="Arial"/>
          <w:szCs w:val="24"/>
        </w:rPr>
        <w:t xml:space="preserve">The </w:t>
      </w:r>
      <w:r w:rsidR="00E10BE4" w:rsidRPr="00D67B18">
        <w:rPr>
          <w:rFonts w:ascii="Garamond" w:hAnsi="Garamond" w:cs="Arial"/>
          <w:szCs w:val="24"/>
        </w:rPr>
        <w:t>analysis was constructed as a</w:t>
      </w:r>
      <w:r w:rsidR="009D7D27">
        <w:rPr>
          <w:rFonts w:ascii="Garamond" w:hAnsi="Garamond" w:cs="Arial"/>
          <w:szCs w:val="24"/>
        </w:rPr>
        <w:t xml:space="preserve"> controlled</w:t>
      </w:r>
      <w:r w:rsidR="00E10BE4" w:rsidRPr="00D67B18">
        <w:rPr>
          <w:rFonts w:ascii="Garamond" w:hAnsi="Garamond" w:cs="Arial"/>
          <w:szCs w:val="24"/>
        </w:rPr>
        <w:t xml:space="preserve"> cohort-study, using the single pregnancy as the unit of analysis</w:t>
      </w:r>
      <w:r w:rsidRPr="00D67B18">
        <w:rPr>
          <w:rFonts w:ascii="Garamond" w:hAnsi="Garamond" w:cs="Arial"/>
          <w:szCs w:val="24"/>
        </w:rPr>
        <w:t xml:space="preserve">. </w:t>
      </w:r>
      <w:r w:rsidR="00E10BE4" w:rsidRPr="00D67B18">
        <w:rPr>
          <w:rFonts w:ascii="Garamond" w:hAnsi="Garamond" w:cs="Arial"/>
          <w:szCs w:val="24"/>
        </w:rPr>
        <w:t xml:space="preserve">We compared the </w:t>
      </w:r>
      <w:r w:rsidR="00581AC6" w:rsidRPr="00D67B18">
        <w:rPr>
          <w:rFonts w:ascii="Garamond" w:hAnsi="Garamond" w:cs="Arial"/>
          <w:szCs w:val="24"/>
        </w:rPr>
        <w:t xml:space="preserve">prevalence </w:t>
      </w:r>
      <w:r w:rsidR="009D7D27">
        <w:rPr>
          <w:rFonts w:ascii="Garamond" w:hAnsi="Garamond" w:cs="Arial"/>
          <w:szCs w:val="24"/>
        </w:rPr>
        <w:t xml:space="preserve">proportion </w:t>
      </w:r>
      <w:r w:rsidR="00E10BE4" w:rsidRPr="00D67B18">
        <w:rPr>
          <w:rFonts w:ascii="Garamond" w:hAnsi="Garamond" w:cs="Arial"/>
          <w:szCs w:val="24"/>
        </w:rPr>
        <w:t xml:space="preserve">of malformations </w:t>
      </w:r>
      <w:r w:rsidR="00350548">
        <w:rPr>
          <w:rFonts w:ascii="Garamond" w:hAnsi="Garamond" w:cs="Arial"/>
          <w:szCs w:val="24"/>
        </w:rPr>
        <w:t xml:space="preserve">in a </w:t>
      </w:r>
      <w:r w:rsidR="00E10BE4" w:rsidRPr="00D67B18">
        <w:rPr>
          <w:rFonts w:ascii="Garamond" w:hAnsi="Garamond" w:cs="Arial"/>
          <w:szCs w:val="24"/>
        </w:rPr>
        <w:t xml:space="preserve">cohort of pregnancies exposed to </w:t>
      </w:r>
      <w:r w:rsidR="009D7D27">
        <w:rPr>
          <w:rFonts w:ascii="Garamond" w:hAnsi="Garamond" w:cs="Arial"/>
          <w:szCs w:val="24"/>
        </w:rPr>
        <w:t>MPH</w:t>
      </w:r>
      <w:r w:rsidR="00E10BE4" w:rsidRPr="00D67B18">
        <w:rPr>
          <w:rFonts w:ascii="Garamond" w:hAnsi="Garamond" w:cs="Arial"/>
          <w:szCs w:val="24"/>
        </w:rPr>
        <w:t xml:space="preserve"> in the first trimester</w:t>
      </w:r>
      <w:r w:rsidR="00350548">
        <w:rPr>
          <w:rFonts w:ascii="Garamond" w:hAnsi="Garamond" w:cs="Arial"/>
          <w:szCs w:val="24"/>
        </w:rPr>
        <w:t xml:space="preserve"> to a </w:t>
      </w:r>
      <w:r w:rsidR="00E10BE4" w:rsidRPr="00D67B18">
        <w:rPr>
          <w:rFonts w:ascii="Garamond" w:hAnsi="Garamond" w:cs="Arial"/>
          <w:szCs w:val="24"/>
        </w:rPr>
        <w:t xml:space="preserve">cohort of pregnancies where the mother had never used </w:t>
      </w:r>
      <w:r w:rsidR="009D7D27">
        <w:rPr>
          <w:rFonts w:ascii="Garamond" w:hAnsi="Garamond" w:cs="Arial"/>
          <w:szCs w:val="24"/>
        </w:rPr>
        <w:t>any psychostimulant</w:t>
      </w:r>
      <w:r w:rsidR="00E10BE4" w:rsidRPr="00D67B18">
        <w:rPr>
          <w:rFonts w:ascii="Garamond" w:hAnsi="Garamond" w:cs="Arial"/>
          <w:szCs w:val="24"/>
        </w:rPr>
        <w:t>.</w:t>
      </w:r>
    </w:p>
    <w:p w:rsidR="00880F90" w:rsidRPr="00D67B18" w:rsidRDefault="00FC4B00" w:rsidP="00880F90">
      <w:pPr>
        <w:spacing w:before="120" w:line="360" w:lineRule="auto"/>
        <w:jc w:val="both"/>
        <w:rPr>
          <w:rFonts w:ascii="Garamond" w:hAnsi="Garamond" w:cs="Arial"/>
          <w:szCs w:val="24"/>
        </w:rPr>
      </w:pPr>
      <w:r w:rsidRPr="00D67B18">
        <w:rPr>
          <w:rFonts w:ascii="Garamond" w:hAnsi="Garamond" w:cs="Arial"/>
          <w:szCs w:val="24"/>
        </w:rPr>
        <w:t xml:space="preserve">We used data from </w:t>
      </w:r>
      <w:r w:rsidR="00657924" w:rsidRPr="00D67B18">
        <w:rPr>
          <w:rFonts w:ascii="Garamond" w:hAnsi="Garamond" w:cs="Arial"/>
          <w:szCs w:val="24"/>
        </w:rPr>
        <w:t xml:space="preserve">four </w:t>
      </w:r>
      <w:r w:rsidRPr="00D67B18">
        <w:rPr>
          <w:rFonts w:ascii="Garamond" w:hAnsi="Garamond" w:cs="Arial"/>
          <w:szCs w:val="24"/>
        </w:rPr>
        <w:t>Danish nationwide registries: the D</w:t>
      </w:r>
      <w:r w:rsidR="00657924" w:rsidRPr="00D67B18">
        <w:rPr>
          <w:rFonts w:ascii="Garamond" w:hAnsi="Garamond" w:cs="Arial"/>
          <w:szCs w:val="24"/>
        </w:rPr>
        <w:t>anish National Patient Register,</w:t>
      </w:r>
      <w:r w:rsidRPr="00D67B18">
        <w:rPr>
          <w:rFonts w:ascii="Garamond" w:hAnsi="Garamond" w:cs="Arial"/>
          <w:szCs w:val="24"/>
        </w:rPr>
        <w:t xml:space="preserve"> the Danish National Prescription Registry</w:t>
      </w:r>
      <w:r w:rsidR="00657924" w:rsidRPr="00D67B18">
        <w:rPr>
          <w:rFonts w:ascii="Garamond" w:hAnsi="Garamond" w:cs="Arial"/>
          <w:szCs w:val="24"/>
        </w:rPr>
        <w:t xml:space="preserve">, the </w:t>
      </w:r>
      <w:r w:rsidR="007F1ACB" w:rsidRPr="00D67B18">
        <w:rPr>
          <w:rFonts w:ascii="Garamond" w:hAnsi="Garamond" w:cs="Arial"/>
          <w:szCs w:val="24"/>
        </w:rPr>
        <w:t xml:space="preserve">Medical </w:t>
      </w:r>
      <w:r w:rsidR="00657924" w:rsidRPr="00D67B18">
        <w:rPr>
          <w:rFonts w:ascii="Garamond" w:hAnsi="Garamond" w:cs="Arial"/>
          <w:szCs w:val="24"/>
        </w:rPr>
        <w:t>Birth Registry and the Danish Civil Registration System</w:t>
      </w:r>
      <w:r w:rsidRPr="00D67B18">
        <w:rPr>
          <w:rFonts w:ascii="Garamond" w:hAnsi="Garamond" w:cs="Arial"/>
          <w:szCs w:val="24"/>
        </w:rPr>
        <w:t xml:space="preserve">. </w:t>
      </w:r>
      <w:r w:rsidR="00880F90">
        <w:rPr>
          <w:rFonts w:ascii="Garamond" w:hAnsi="Garamond" w:cs="Arial"/>
          <w:szCs w:val="24"/>
        </w:rPr>
        <w:t>V</w:t>
      </w:r>
      <w:r w:rsidR="00880F90" w:rsidRPr="00D67B18">
        <w:rPr>
          <w:rFonts w:ascii="Garamond" w:hAnsi="Garamond" w:cs="Arial"/>
          <w:szCs w:val="24"/>
        </w:rPr>
        <w:t xml:space="preserve">irtually all medical care in Denmark is furnished by the public health authorities, whereby </w:t>
      </w:r>
      <w:r w:rsidR="009A1934">
        <w:rPr>
          <w:rFonts w:ascii="Garamond" w:hAnsi="Garamond" w:cs="Arial"/>
          <w:szCs w:val="24"/>
        </w:rPr>
        <w:t>these</w:t>
      </w:r>
      <w:r w:rsidR="009A1934" w:rsidRPr="00D67B18">
        <w:rPr>
          <w:rFonts w:ascii="Garamond" w:hAnsi="Garamond" w:cs="Arial"/>
          <w:szCs w:val="24"/>
        </w:rPr>
        <w:t xml:space="preserve"> data resource</w:t>
      </w:r>
      <w:r w:rsidR="009A1934">
        <w:rPr>
          <w:rFonts w:ascii="Garamond" w:hAnsi="Garamond" w:cs="Arial"/>
          <w:szCs w:val="24"/>
        </w:rPr>
        <w:t>s</w:t>
      </w:r>
      <w:r w:rsidR="009A1934" w:rsidRPr="00D67B18">
        <w:rPr>
          <w:rFonts w:ascii="Garamond" w:hAnsi="Garamond" w:cs="Arial"/>
          <w:szCs w:val="24"/>
        </w:rPr>
        <w:t xml:space="preserve"> allow</w:t>
      </w:r>
      <w:r w:rsidR="00880F90" w:rsidRPr="00D67B18">
        <w:rPr>
          <w:rFonts w:ascii="Garamond" w:hAnsi="Garamond" w:cs="Arial"/>
          <w:szCs w:val="24"/>
        </w:rPr>
        <w:t xml:space="preserve"> true population-based studies, covering all inhabitants of Denmark. </w:t>
      </w:r>
    </w:p>
    <w:p w:rsidR="00FC4B00" w:rsidRPr="00D67B18" w:rsidRDefault="00FC4B00" w:rsidP="00D67B18">
      <w:pPr>
        <w:spacing w:before="120" w:line="360" w:lineRule="auto"/>
        <w:jc w:val="both"/>
        <w:rPr>
          <w:rFonts w:ascii="Garamond" w:hAnsi="Garamond" w:cs="Arial"/>
          <w:szCs w:val="24"/>
        </w:rPr>
      </w:pPr>
      <w:r w:rsidRPr="00D67B18">
        <w:rPr>
          <w:rFonts w:ascii="Garamond" w:hAnsi="Garamond" w:cs="Arial"/>
          <w:szCs w:val="24"/>
        </w:rPr>
        <w:t xml:space="preserve">Data was obtained for the period of </w:t>
      </w:r>
      <w:r w:rsidR="00F75713">
        <w:rPr>
          <w:rFonts w:ascii="Garamond" w:hAnsi="Garamond" w:cs="Arial"/>
          <w:szCs w:val="24"/>
        </w:rPr>
        <w:t xml:space="preserve">1 </w:t>
      </w:r>
      <w:r w:rsidRPr="00D67B18">
        <w:rPr>
          <w:rFonts w:ascii="Garamond" w:hAnsi="Garamond" w:cs="Arial"/>
          <w:szCs w:val="24"/>
        </w:rPr>
        <w:t xml:space="preserve">January 1995 to </w:t>
      </w:r>
      <w:r w:rsidR="00F75713">
        <w:rPr>
          <w:rFonts w:ascii="Garamond" w:hAnsi="Garamond" w:cs="Arial"/>
          <w:szCs w:val="24"/>
        </w:rPr>
        <w:t>31 December</w:t>
      </w:r>
      <w:r w:rsidR="003A6647">
        <w:rPr>
          <w:rFonts w:ascii="Garamond" w:hAnsi="Garamond" w:cs="Arial"/>
          <w:szCs w:val="24"/>
        </w:rPr>
        <w:t xml:space="preserve"> 201</w:t>
      </w:r>
      <w:r w:rsidR="00F75713">
        <w:rPr>
          <w:rFonts w:ascii="Garamond" w:hAnsi="Garamond" w:cs="Arial"/>
          <w:szCs w:val="24"/>
        </w:rPr>
        <w:t>2</w:t>
      </w:r>
      <w:r w:rsidRPr="00D67B18">
        <w:rPr>
          <w:rFonts w:ascii="Garamond" w:hAnsi="Garamond" w:cs="Arial"/>
          <w:szCs w:val="24"/>
        </w:rPr>
        <w:t xml:space="preserve">. </w:t>
      </w:r>
    </w:p>
    <w:p w:rsidR="00FC4B00" w:rsidRPr="00D67B18" w:rsidRDefault="00FC4B00" w:rsidP="00D67B18">
      <w:pPr>
        <w:spacing w:before="120" w:line="360" w:lineRule="auto"/>
        <w:jc w:val="both"/>
        <w:rPr>
          <w:rFonts w:ascii="Garamond" w:hAnsi="Garamond" w:cs="Arial"/>
          <w:b/>
          <w:szCs w:val="24"/>
        </w:rPr>
      </w:pPr>
    </w:p>
    <w:p w:rsidR="001635D8" w:rsidRPr="00D67B18" w:rsidRDefault="00FC4B00" w:rsidP="00D67B18">
      <w:pPr>
        <w:spacing w:before="120" w:line="360" w:lineRule="auto"/>
        <w:jc w:val="both"/>
        <w:rPr>
          <w:rFonts w:ascii="Garamond" w:hAnsi="Garamond" w:cs="Arial"/>
          <w:b/>
          <w:szCs w:val="24"/>
        </w:rPr>
      </w:pPr>
      <w:r w:rsidRPr="00D67B18">
        <w:rPr>
          <w:rFonts w:ascii="Garamond" w:hAnsi="Garamond" w:cs="Arial"/>
          <w:b/>
          <w:szCs w:val="24"/>
        </w:rPr>
        <w:t>Registries</w:t>
      </w:r>
    </w:p>
    <w:p w:rsidR="004C0795" w:rsidRPr="00D67B18" w:rsidRDefault="001635D8" w:rsidP="00DA73FD">
      <w:pPr>
        <w:autoSpaceDE w:val="0"/>
        <w:autoSpaceDN w:val="0"/>
        <w:adjustRightInd w:val="0"/>
        <w:spacing w:line="360" w:lineRule="auto"/>
        <w:jc w:val="both"/>
        <w:rPr>
          <w:rFonts w:ascii="Garamond" w:hAnsi="Garamond" w:cs="Arial"/>
          <w:szCs w:val="24"/>
        </w:rPr>
      </w:pPr>
      <w:r w:rsidRPr="00D67B18">
        <w:rPr>
          <w:rFonts w:ascii="Garamond" w:hAnsi="Garamond" w:cs="Arial"/>
          <w:szCs w:val="24"/>
        </w:rPr>
        <w:t>The Da</w:t>
      </w:r>
      <w:r w:rsidR="00D63556">
        <w:rPr>
          <w:rFonts w:ascii="Garamond" w:hAnsi="Garamond" w:cs="Arial"/>
          <w:szCs w:val="24"/>
        </w:rPr>
        <w:t xml:space="preserve">nish National Patient Register </w:t>
      </w:r>
      <w:r w:rsidR="00F30688">
        <w:rPr>
          <w:rFonts w:ascii="Garamond" w:hAnsi="Garamond" w:cs="Arial"/>
          <w:szCs w:val="24"/>
        </w:rPr>
        <w:fldChar w:fldCharType="begin"/>
      </w:r>
      <w:r w:rsidR="00A817DF">
        <w:rPr>
          <w:rFonts w:ascii="Garamond" w:hAnsi="Garamond" w:cs="Arial"/>
          <w:szCs w:val="24"/>
        </w:rPr>
        <w:instrText xml:space="preserve"> ADDIN REFMGR.CITE &lt;Refman&gt;&lt;Cite&gt;&lt;Author&gt;Lynge&lt;/Author&gt;&lt;Year&gt;2011&lt;/Year&gt;&lt;RecNum&gt;245&lt;/RecNum&gt;&lt;IDText&gt;The Danish National Patient Register&lt;/IDText&gt;&lt;MDL Ref_Type="Journal"&gt;&lt;Ref_Type&gt;Journal&lt;/Ref_Type&gt;&lt;Ref_ID&gt;245&lt;/Ref_ID&gt;&lt;Title_Primary&gt;The Danish National Patient Register&lt;/Title_Primary&gt;&lt;Authors_Primary&gt;Lynge,E.&lt;/Authors_Primary&gt;&lt;Authors_Primary&gt;Sandegaard,J.L.&lt;/Authors_Primary&gt;&lt;Authors_Primary&gt;Rebolj,M.&lt;/Authors_Primary&gt;&lt;Date_Primary&gt;2011/7&lt;/Date_Primary&gt;&lt;Keywords&gt;classification&lt;/Keywords&gt;&lt;Keywords&gt;Denmark&lt;/Keywords&gt;&lt;Keywords&gt;epidemiology&lt;/Keywords&gt;&lt;Keywords&gt;General Practice&lt;/Keywords&gt;&lt;Keywords&gt;Health Services Administration&lt;/Keywords&gt;&lt;Keywords&gt;Health Services Research&lt;/Keywords&gt;&lt;Keywords&gt;Hospitals&lt;/Keywords&gt;&lt;Keywords&gt;Humans&lt;/Keywords&gt;&lt;Keywords&gt;organization &amp;amp; administration&lt;/Keywords&gt;&lt;Keywords&gt;Patient Care Management&lt;/Keywords&gt;&lt;Keywords&gt;Patients&lt;/Keywords&gt;&lt;Keywords&gt;Primary Health Care&lt;/Keywords&gt;&lt;Keywords&gt;Registries&lt;/Keywords&gt;&lt;Keywords&gt;Time&lt;/Keywords&gt;&lt;Reprint&gt;Not in File&lt;/Reprint&gt;&lt;Start_Page&gt;30&lt;/Start_Page&gt;&lt;End_Page&gt;33&lt;/End_Page&gt;&lt;Periodical&gt;Scand.J Public Health&lt;/Periodical&gt;&lt;Volume&gt;39&lt;/Volume&gt;&lt;Issue&gt;7 Suppl&lt;/Issue&gt;&lt;Misc_3&gt;39/7_suppl/30 [pii];10.1177/1403494811401482 [doi]&lt;/Misc_3&gt;&lt;Address&gt;Institute of Public Health, University of Copenhagen, Copenhagen, Denmark. elsebeth@pubhealth.ku.dk&lt;/Address&gt;&lt;Web_URL&gt;PM:21775347&lt;/Web_URL&gt;&lt;ZZ_JournalFull&gt;&lt;f name="System"&gt;Scand.J Public Health&lt;/f&gt;&lt;/ZZ_JournalFull&gt;&lt;ZZ_WorkformID&gt;1&lt;/ZZ_WorkformID&gt;&lt;/MDL&gt;&lt;/Cite&gt;&lt;/Refman&gt;</w:instrText>
      </w:r>
      <w:r w:rsidR="00F30688">
        <w:rPr>
          <w:rFonts w:ascii="Garamond" w:hAnsi="Garamond" w:cs="Arial"/>
          <w:szCs w:val="24"/>
        </w:rPr>
        <w:fldChar w:fldCharType="separate"/>
      </w:r>
      <w:r w:rsidR="00D96BAD">
        <w:rPr>
          <w:rFonts w:ascii="Garamond" w:hAnsi="Garamond" w:cs="Arial"/>
          <w:noProof/>
          <w:szCs w:val="24"/>
        </w:rPr>
        <w:t>(1)</w:t>
      </w:r>
      <w:r w:rsidR="00F30688">
        <w:rPr>
          <w:rFonts w:ascii="Garamond" w:hAnsi="Garamond" w:cs="Arial"/>
          <w:szCs w:val="24"/>
        </w:rPr>
        <w:fldChar w:fldCharType="end"/>
      </w:r>
      <w:r w:rsidRPr="00D67B18">
        <w:rPr>
          <w:rFonts w:ascii="Garamond" w:hAnsi="Garamond" w:cs="Arial"/>
          <w:szCs w:val="24"/>
        </w:rPr>
        <w:t xml:space="preserve"> contains data on all hospit</w:t>
      </w:r>
      <w:r w:rsidR="004C0795" w:rsidRPr="00D67B18">
        <w:rPr>
          <w:rFonts w:ascii="Garamond" w:hAnsi="Garamond" w:cs="Arial"/>
          <w:szCs w:val="24"/>
        </w:rPr>
        <w:t>alizations in Denmark since 1977</w:t>
      </w:r>
      <w:r w:rsidRPr="00D67B18">
        <w:rPr>
          <w:rFonts w:ascii="Garamond" w:hAnsi="Garamond" w:cs="Arial"/>
          <w:szCs w:val="24"/>
        </w:rPr>
        <w:t xml:space="preserve"> and out-patient visits since 1995. Discharge diagnoses are coded according to ICD-10 since 1994. </w:t>
      </w:r>
      <w:r w:rsidR="00DA73FD" w:rsidRPr="00DA73FD">
        <w:rPr>
          <w:rFonts w:ascii="Garamond" w:hAnsi="Garamond" w:cs="Arial"/>
          <w:szCs w:val="24"/>
        </w:rPr>
        <w:t>Virtually all medical care in Denmark is furnished by the national health authorities, whereby this data resource allows true population-based studies, covering all inhabitants of Denmark.</w:t>
      </w:r>
      <w:r w:rsidR="00DA73FD" w:rsidRPr="00D67B18">
        <w:rPr>
          <w:rFonts w:ascii="Garamond" w:hAnsi="Garamond" w:cs="Arial"/>
          <w:szCs w:val="24"/>
        </w:rPr>
        <w:t xml:space="preserve"> </w:t>
      </w:r>
    </w:p>
    <w:p w:rsidR="00886D23" w:rsidRPr="00D67B18" w:rsidRDefault="00886D23" w:rsidP="00886D23">
      <w:pPr>
        <w:spacing w:before="120" w:line="360" w:lineRule="auto"/>
        <w:jc w:val="both"/>
        <w:rPr>
          <w:rFonts w:ascii="Garamond" w:hAnsi="Garamond" w:cs="Arial"/>
          <w:szCs w:val="24"/>
        </w:rPr>
      </w:pPr>
      <w:r w:rsidRPr="00D67B18">
        <w:rPr>
          <w:rFonts w:ascii="Garamond" w:hAnsi="Garamond" w:cs="Arial"/>
          <w:szCs w:val="24"/>
        </w:rPr>
        <w:t xml:space="preserve">The Medical Birth Registry </w:t>
      </w:r>
      <w:r w:rsidR="00F30688">
        <w:rPr>
          <w:rFonts w:ascii="Garamond" w:hAnsi="Garamond" w:cs="Arial"/>
          <w:szCs w:val="24"/>
        </w:rPr>
        <w:fldChar w:fldCharType="begin"/>
      </w:r>
      <w:r w:rsidR="00A817DF">
        <w:rPr>
          <w:rFonts w:ascii="Garamond" w:hAnsi="Garamond" w:cs="Arial"/>
          <w:szCs w:val="24"/>
        </w:rPr>
        <w:instrText xml:space="preserve"> ADDIN REFMGR.CITE &lt;Refman&gt;&lt;Cite&gt;&lt;Author&gt;Knudsen&lt;/Author&gt;&lt;Year&gt;1998&lt;/Year&gt;&lt;RecNum&gt;286&lt;/RecNum&gt;&lt;IDText&gt;The Danish Medical Birth Registry&lt;/IDText&gt;&lt;MDL Ref_Type="Journal"&gt;&lt;Ref_Type&gt;Journal&lt;/Ref_Type&gt;&lt;Ref_ID&gt;286&lt;/Ref_ID&gt;&lt;Title_Primary&gt;The Danish Medical Birth Registry&lt;/Title_Primary&gt;&lt;Authors_Primary&gt;Knudsen,L.B.&lt;/Authors_Primary&gt;&lt;Authors_Primary&gt;Olsen,J.&lt;/Authors_Primary&gt;&lt;Date_Primary&gt;1998/6&lt;/Date_Primary&gt;&lt;Keywords&gt;Data Interpretation,Statistical&lt;/Keywords&gt;&lt;Keywords&gt;Denmark&lt;/Keywords&gt;&lt;Keywords&gt;epidemiology&lt;/Keywords&gt;&lt;Keywords&gt;Female&lt;/Keywords&gt;&lt;Keywords&gt;Humans&lt;/Keywords&gt;&lt;Keywords&gt;Labor,Obstetric&lt;/Keywords&gt;&lt;Keywords&gt;Pregnancy&lt;/Keywords&gt;&lt;Keywords&gt;Quality Control&lt;/Keywords&gt;&lt;Keywords&gt;Questionnaires&lt;/Keywords&gt;&lt;Keywords&gt;Registries&lt;/Keywords&gt;&lt;Keywords&gt;Research&lt;/Keywords&gt;&lt;Keywords&gt;Time&lt;/Keywords&gt;&lt;Reprint&gt;Not in File&lt;/Reprint&gt;&lt;Start_Page&gt;320&lt;/Start_Page&gt;&lt;End_Page&gt;323&lt;/End_Page&gt;&lt;Periodical&gt;Dan.Med Bull.&lt;/Periodical&gt;&lt;Volume&gt;45&lt;/Volume&gt;&lt;Issue&gt;3&lt;/Issue&gt;&lt;Address&gt;Danish Epidemiology Science Centre, University of Aarhus&lt;/Address&gt;&lt;Web_URL&gt;PM:9675544&lt;/Web_URL&gt;&lt;ZZ_JournalFull&gt;&lt;f name="System"&gt;Dan.Med Bull.&lt;/f&gt;&lt;/ZZ_JournalFull&gt;&lt;ZZ_WorkformID&gt;1&lt;/ZZ_WorkformID&gt;&lt;/MDL&gt;&lt;/Cite&gt;&lt;/Refman&gt;</w:instrText>
      </w:r>
      <w:r w:rsidR="00F30688">
        <w:rPr>
          <w:rFonts w:ascii="Garamond" w:hAnsi="Garamond" w:cs="Arial"/>
          <w:szCs w:val="24"/>
        </w:rPr>
        <w:fldChar w:fldCharType="separate"/>
      </w:r>
      <w:r w:rsidR="00A817DF">
        <w:rPr>
          <w:rFonts w:ascii="Garamond" w:hAnsi="Garamond" w:cs="Arial"/>
          <w:noProof/>
          <w:szCs w:val="24"/>
        </w:rPr>
        <w:t>(2)</w:t>
      </w:r>
      <w:r w:rsidR="00F30688">
        <w:rPr>
          <w:rFonts w:ascii="Garamond" w:hAnsi="Garamond" w:cs="Arial"/>
          <w:szCs w:val="24"/>
        </w:rPr>
        <w:fldChar w:fldCharType="end"/>
      </w:r>
      <w:r>
        <w:rPr>
          <w:rFonts w:ascii="Garamond" w:hAnsi="Garamond" w:cs="Arial"/>
          <w:szCs w:val="24"/>
        </w:rPr>
        <w:t xml:space="preserve"> </w:t>
      </w:r>
      <w:r w:rsidRPr="00D67B18">
        <w:rPr>
          <w:rFonts w:ascii="Garamond" w:hAnsi="Garamond" w:cs="Arial"/>
          <w:szCs w:val="24"/>
        </w:rPr>
        <w:t xml:space="preserve">contains information on all pregnancies in Denmark, both hospital- and homebirths. Information stored in the registry include basic data on the children (gestational age, weight, height, </w:t>
      </w:r>
      <w:proofErr w:type="spellStart"/>
      <w:r w:rsidRPr="00D67B18">
        <w:rPr>
          <w:rFonts w:ascii="Garamond" w:hAnsi="Garamond" w:cs="Arial"/>
          <w:szCs w:val="24"/>
        </w:rPr>
        <w:t>apgar</w:t>
      </w:r>
      <w:proofErr w:type="spellEnd"/>
      <w:r w:rsidRPr="00D67B18">
        <w:rPr>
          <w:rFonts w:ascii="Garamond" w:hAnsi="Garamond" w:cs="Arial"/>
          <w:szCs w:val="24"/>
        </w:rPr>
        <w:t xml:space="preserve"> score, referral to neonatal care unit etc.), complications and procedures performed during the delivery. Until 1997 data were collected through birth reports sent to the National Board of Health. From 1997 the registry is primarily based on the Danish National Patient Registry, but supplied with birth reports on home births and stillborn children. </w:t>
      </w:r>
    </w:p>
    <w:p w:rsidR="001635D8" w:rsidRPr="00D67B18" w:rsidRDefault="001635D8" w:rsidP="00D67B18">
      <w:pPr>
        <w:spacing w:before="120" w:line="360" w:lineRule="auto"/>
        <w:jc w:val="both"/>
        <w:rPr>
          <w:rFonts w:ascii="Garamond" w:hAnsi="Garamond" w:cs="Arial"/>
          <w:szCs w:val="24"/>
        </w:rPr>
      </w:pPr>
      <w:r w:rsidRPr="00D67B18">
        <w:rPr>
          <w:rFonts w:ascii="Garamond" w:hAnsi="Garamond" w:cs="Arial"/>
          <w:szCs w:val="24"/>
        </w:rPr>
        <w:t>The Danish National Prescription Registry</w:t>
      </w:r>
      <w:r w:rsidR="00D63556">
        <w:rPr>
          <w:rFonts w:ascii="Garamond" w:hAnsi="Garamond" w:cs="Arial"/>
          <w:szCs w:val="24"/>
        </w:rPr>
        <w:t xml:space="preserve"> </w:t>
      </w:r>
      <w:r w:rsidR="00F30688">
        <w:rPr>
          <w:rFonts w:ascii="Garamond" w:hAnsi="Garamond" w:cs="Arial"/>
          <w:szCs w:val="24"/>
        </w:rPr>
        <w:fldChar w:fldCharType="begin"/>
      </w:r>
      <w:r w:rsidR="00A817DF">
        <w:rPr>
          <w:rFonts w:ascii="Garamond" w:hAnsi="Garamond" w:cs="Arial"/>
          <w:szCs w:val="24"/>
        </w:rPr>
        <w:instrText xml:space="preserve"> ADDIN REFMGR.CITE &lt;Refman&gt;&lt;Cite&gt;&lt;Author&gt;Kildemoes&lt;/Author&gt;&lt;Year&gt;2011&lt;/Year&gt;&lt;RecNum&gt;246&lt;/RecNum&gt;&lt;IDText&gt;The Danish National Prescription Registry&lt;/IDText&gt;&lt;MDL Ref_Type="Journal"&gt;&lt;Ref_Type&gt;Journal&lt;/Ref_Type&gt;&lt;Ref_ID&gt;246&lt;/Ref_ID&gt;&lt;Title_Primary&gt;The Danish National Prescription Registry&lt;/Title_Primary&gt;&lt;Authors_Primary&gt;Kildemoes,H.W.&lt;/Authors_Primary&gt;&lt;Authors_Primary&gt;Sorensen,H.T.&lt;/Authors_Primary&gt;&lt;Authors_Primary&gt;Hallas,J.&lt;/Authors_Primary&gt;&lt;Date_Primary&gt;2011/7&lt;/Date_Primary&gt;&lt;Keywords&gt;Denmark&lt;/Keywords&gt;&lt;Keywords&gt;Drug Prescriptions&lt;/Keywords&gt;&lt;Keywords&gt;Humans&lt;/Keywords&gt;&lt;Keywords&gt;Pharmacoepidemiology&lt;/Keywords&gt;&lt;Keywords&gt;Registries&lt;/Keywords&gt;&lt;Keywords&gt;Research&lt;/Keywords&gt;&lt;Keywords&gt;standards&lt;/Keywords&gt;&lt;Keywords&gt;statistics &amp;amp; numerical data&lt;/Keywords&gt;&lt;Reprint&gt;Not in File&lt;/Reprint&gt;&lt;Start_Page&gt;38&lt;/Start_Page&gt;&lt;End_Page&gt;41&lt;/End_Page&gt;&lt;Periodical&gt;Scand.J Public Health&lt;/Periodical&gt;&lt;Volume&gt;39&lt;/Volume&gt;&lt;Issue&gt;7 Suppl&lt;/Issue&gt;&lt;Misc_3&gt;39/7_suppl/38 [pii];10.1177/1403494810394717 [doi]&lt;/Misc_3&gt;&lt;Address&gt;Center for Healthy Ageing, Department of Public Health, University of Copenhagen, Denmark. hewk@sund.ku.dk&lt;/Address&gt;&lt;Web_URL&gt;PM:21775349&lt;/Web_URL&gt;&lt;ZZ_JournalFull&gt;&lt;f name="System"&gt;Scand.J Public Health&lt;/f&gt;&lt;/ZZ_JournalFull&gt;&lt;ZZ_WorkformID&gt;1&lt;/ZZ_WorkformID&gt;&lt;/MDL&gt;&lt;/Cite&gt;&lt;/Refman&gt;</w:instrText>
      </w:r>
      <w:r w:rsidR="00F30688">
        <w:rPr>
          <w:rFonts w:ascii="Garamond" w:hAnsi="Garamond" w:cs="Arial"/>
          <w:szCs w:val="24"/>
        </w:rPr>
        <w:fldChar w:fldCharType="separate"/>
      </w:r>
      <w:r w:rsidR="00A817DF">
        <w:rPr>
          <w:rFonts w:ascii="Garamond" w:hAnsi="Garamond" w:cs="Arial"/>
          <w:noProof/>
          <w:szCs w:val="24"/>
        </w:rPr>
        <w:t>(3)</w:t>
      </w:r>
      <w:r w:rsidR="00F30688">
        <w:rPr>
          <w:rFonts w:ascii="Garamond" w:hAnsi="Garamond" w:cs="Arial"/>
          <w:szCs w:val="24"/>
        </w:rPr>
        <w:fldChar w:fldCharType="end"/>
      </w:r>
      <w:r w:rsidRPr="00D67B18">
        <w:rPr>
          <w:rFonts w:ascii="Garamond" w:hAnsi="Garamond" w:cs="Arial"/>
          <w:szCs w:val="24"/>
        </w:rPr>
        <w:t xml:space="preserve"> contains data on all prescription drugs redeemed by </w:t>
      </w:r>
      <w:r w:rsidR="00293747">
        <w:rPr>
          <w:rFonts w:ascii="Garamond" w:hAnsi="Garamond" w:cs="Arial"/>
          <w:szCs w:val="24"/>
        </w:rPr>
        <w:t>in Denmark</w:t>
      </w:r>
      <w:r w:rsidRPr="00D67B18">
        <w:rPr>
          <w:rFonts w:ascii="Garamond" w:hAnsi="Garamond" w:cs="Arial"/>
          <w:szCs w:val="24"/>
        </w:rPr>
        <w:t xml:space="preserve"> since 1995. Prescription data includes the date of dispensing, the substance, brand name, and quantity. The dosing information and the indication for prescribing are not recorded. Drugs are categorized according to the Anatomic Therapeutic Chemical code, a hierarchical classification system developed by the WHO for purposes of drug use statistics WHO </w:t>
      </w:r>
      <w:r w:rsidR="00F30688">
        <w:rPr>
          <w:rFonts w:ascii="Garamond" w:hAnsi="Garamond" w:cs="Arial"/>
          <w:szCs w:val="24"/>
        </w:rPr>
        <w:fldChar w:fldCharType="begin"/>
      </w:r>
      <w:r w:rsidR="00A817DF">
        <w:rPr>
          <w:rFonts w:ascii="Garamond" w:hAnsi="Garamond" w:cs="Arial"/>
          <w:szCs w:val="24"/>
        </w:rPr>
        <w:instrText xml:space="preserve"> ADDIN REFMGR.CITE &lt;Refman&gt;&lt;Cite&gt;&lt;Author&gt;WHO Collaborating Centre for Drug Statistics Methodology&lt;/Author&gt;&lt;Year&gt;2012&lt;/Year&gt;&lt;RecNum&gt;2&lt;/RecNum&gt;&lt;IDText&gt;Guidelines for ATC classification and DDD assignment 2013&lt;/IDText&gt;&lt;MDL Ref_Type="Book, Whole"&gt;&lt;Ref_Type&gt;Book, Whole&lt;/Ref_Type&gt;&lt;Ref_ID&gt;2&lt;/Ref_ID&gt;&lt;Title_Primary&gt;&lt;f name="TimesNewRoman"&gt;Guidelines for ATC classification and DDD assignment 2013&lt;/f&gt;&lt;/Title_Primary&gt;&lt;Authors_Primary&gt;WHO Collaborating Centre for Drug Statistics Methodology&lt;/Authors_Primary&gt;&lt;Date_Primary&gt;2012&lt;/Date_Primary&gt;&lt;Keywords&gt;classification&lt;/Keywords&gt;&lt;Reprint&gt;Not in File&lt;/Reprint&gt;&lt;Pub_Place&gt;Oslo&lt;/Pub_Place&gt;&lt;ZZ_WorkformID&gt;2&lt;/ZZ_WorkformID&gt;&lt;/MDL&gt;&lt;/Cite&gt;&lt;/Refman&gt;</w:instrText>
      </w:r>
      <w:r w:rsidR="00F30688">
        <w:rPr>
          <w:rFonts w:ascii="Garamond" w:hAnsi="Garamond" w:cs="Arial"/>
          <w:szCs w:val="24"/>
        </w:rPr>
        <w:fldChar w:fldCharType="separate"/>
      </w:r>
      <w:r w:rsidR="00A817DF">
        <w:rPr>
          <w:rFonts w:ascii="Garamond" w:hAnsi="Garamond" w:cs="Arial"/>
          <w:noProof/>
          <w:szCs w:val="24"/>
        </w:rPr>
        <w:t>(4)</w:t>
      </w:r>
      <w:r w:rsidR="00F30688">
        <w:rPr>
          <w:rFonts w:ascii="Garamond" w:hAnsi="Garamond" w:cs="Arial"/>
          <w:szCs w:val="24"/>
        </w:rPr>
        <w:fldChar w:fldCharType="end"/>
      </w:r>
      <w:r w:rsidRPr="00D67B18">
        <w:rPr>
          <w:rFonts w:ascii="Garamond" w:hAnsi="Garamond" w:cs="Arial"/>
          <w:szCs w:val="24"/>
        </w:rPr>
        <w:t xml:space="preserve">. </w:t>
      </w:r>
    </w:p>
    <w:p w:rsidR="00400A04" w:rsidRPr="00D67B18" w:rsidRDefault="00400A04" w:rsidP="00D67B18">
      <w:pPr>
        <w:autoSpaceDE w:val="0"/>
        <w:autoSpaceDN w:val="0"/>
        <w:adjustRightInd w:val="0"/>
        <w:spacing w:before="120" w:line="360" w:lineRule="auto"/>
        <w:jc w:val="both"/>
        <w:rPr>
          <w:rFonts w:ascii="Garamond" w:hAnsi="Garamond" w:cs="Arial"/>
          <w:szCs w:val="24"/>
        </w:rPr>
      </w:pPr>
      <w:r w:rsidRPr="00D67B18">
        <w:rPr>
          <w:rFonts w:ascii="Garamond" w:hAnsi="Garamond" w:cs="Arial"/>
          <w:szCs w:val="24"/>
        </w:rPr>
        <w:lastRenderedPageBreak/>
        <w:t>The Danish Civil Registration System</w:t>
      </w:r>
      <w:r w:rsidR="00D63556">
        <w:rPr>
          <w:rFonts w:ascii="Garamond" w:hAnsi="Garamond" w:cs="Arial"/>
          <w:szCs w:val="24"/>
        </w:rPr>
        <w:t xml:space="preserve"> </w:t>
      </w:r>
      <w:r w:rsidR="00F30688">
        <w:rPr>
          <w:rFonts w:ascii="Garamond" w:hAnsi="Garamond" w:cs="Arial"/>
          <w:szCs w:val="24"/>
        </w:rPr>
        <w:fldChar w:fldCharType="begin"/>
      </w:r>
      <w:r w:rsidR="00A817DF">
        <w:rPr>
          <w:rFonts w:ascii="Garamond" w:hAnsi="Garamond" w:cs="Arial"/>
          <w:szCs w:val="24"/>
        </w:rPr>
        <w:instrText xml:space="preserve"> ADDIN REFMGR.CITE &lt;Refman&gt;&lt;Cite&gt;&lt;Author&gt;Pedersen&lt;/Author&gt;&lt;Year&gt;2011&lt;/Year&gt;&lt;RecNum&gt;247&lt;/RecNum&gt;&lt;IDText&gt;The Danish Civil Registration System&lt;/IDText&gt;&lt;MDL Ref_Type="Journal"&gt;&lt;Ref_Type&gt;Journal&lt;/Ref_Type&gt;&lt;Ref_ID&gt;247&lt;/Ref_ID&gt;&lt;Title_Primary&gt;The Danish Civil Registration System&lt;/Title_Primary&gt;&lt;Authors_Primary&gt;Pedersen,C.B.&lt;/Authors_Primary&gt;&lt;Date_Primary&gt;2011/7&lt;/Date_Primary&gt;&lt;Keywords&gt;Demography&lt;/Keywords&gt;&lt;Keywords&gt;Denmark&lt;/Keywords&gt;&lt;Keywords&gt;Emigrants and Immigrants&lt;/Keywords&gt;&lt;Keywords&gt;epidemiology&lt;/Keywords&gt;&lt;Keywords&gt;ethnology&lt;/Keywords&gt;&lt;Keywords&gt;Female&lt;/Keywords&gt;&lt;Keywords&gt;Humans&lt;/Keywords&gt;&lt;Keywords&gt;Male&lt;/Keywords&gt;&lt;Keywords&gt;Population Surveillance&lt;/Keywords&gt;&lt;Keywords&gt;Registries&lt;/Keywords&gt;&lt;Keywords&gt;Research&lt;/Keywords&gt;&lt;Keywords&gt;Vital Statistics&lt;/Keywords&gt;&lt;Reprint&gt;Not in File&lt;/Reprint&gt;&lt;Start_Page&gt;22&lt;/Start_Page&gt;&lt;End_Page&gt;25&lt;/End_Page&gt;&lt;Periodical&gt;Scand.J Public Health&lt;/Periodical&gt;&lt;Volume&gt;39&lt;/Volume&gt;&lt;Issue&gt;7 Suppl&lt;/Issue&gt;&lt;Misc_3&gt;39/7_suppl/22 [pii];10.1177/1403494810387965 [doi]&lt;/Misc_3&gt;&lt;Address&gt;National Centre for Register-based Research, University of Aarhus, Taasingegade, Aarhus C, Denmark. cbp@ncrr.dk&lt;/Address&gt;&lt;Web_URL&gt;PM:21775345&lt;/Web_URL&gt;&lt;ZZ_JournalFull&gt;&lt;f name="System"&gt;Scand.J Public Health&lt;/f&gt;&lt;/ZZ_JournalFull&gt;&lt;ZZ_WorkformID&gt;1&lt;/ZZ_WorkformID&gt;&lt;/MDL&gt;&lt;/Cite&gt;&lt;/Refman&gt;</w:instrText>
      </w:r>
      <w:r w:rsidR="00F30688">
        <w:rPr>
          <w:rFonts w:ascii="Garamond" w:hAnsi="Garamond" w:cs="Arial"/>
          <w:szCs w:val="24"/>
        </w:rPr>
        <w:fldChar w:fldCharType="separate"/>
      </w:r>
      <w:r w:rsidR="00A817DF">
        <w:rPr>
          <w:rFonts w:ascii="Garamond" w:hAnsi="Garamond" w:cs="Arial"/>
          <w:noProof/>
          <w:szCs w:val="24"/>
        </w:rPr>
        <w:t>(5)</w:t>
      </w:r>
      <w:r w:rsidR="00F30688">
        <w:rPr>
          <w:rFonts w:ascii="Garamond" w:hAnsi="Garamond" w:cs="Arial"/>
          <w:szCs w:val="24"/>
        </w:rPr>
        <w:fldChar w:fldCharType="end"/>
      </w:r>
      <w:r w:rsidRPr="00D67B18">
        <w:rPr>
          <w:rFonts w:ascii="Garamond" w:hAnsi="Garamond" w:cs="Arial"/>
          <w:szCs w:val="24"/>
        </w:rPr>
        <w:t xml:space="preserve"> contains data on vital status (date of death) and migration to and from Denmark, which served as census data.</w:t>
      </w:r>
    </w:p>
    <w:p w:rsidR="00400A04" w:rsidRPr="00D67B18" w:rsidRDefault="00400A04" w:rsidP="00D67B18">
      <w:pPr>
        <w:autoSpaceDE w:val="0"/>
        <w:autoSpaceDN w:val="0"/>
        <w:adjustRightInd w:val="0"/>
        <w:spacing w:before="120" w:line="360" w:lineRule="auto"/>
        <w:jc w:val="both"/>
        <w:rPr>
          <w:rFonts w:ascii="Garamond" w:hAnsi="Garamond" w:cs="Arial"/>
          <w:szCs w:val="24"/>
        </w:rPr>
      </w:pPr>
      <w:r w:rsidRPr="00D67B18">
        <w:rPr>
          <w:rFonts w:ascii="Garamond" w:hAnsi="Garamond" w:cs="Arial"/>
          <w:szCs w:val="24"/>
        </w:rPr>
        <w:t xml:space="preserve">All data sources were linked by use of the personal identification number, a unique identifier assigned to all Danish residents since 1968 that encodes gender and date of birth. All linkage was performed </w:t>
      </w:r>
      <w:r w:rsidR="004C0795" w:rsidRPr="00D67B18">
        <w:rPr>
          <w:rFonts w:ascii="Garamond" w:hAnsi="Garamond" w:cs="Arial"/>
          <w:szCs w:val="24"/>
        </w:rPr>
        <w:t xml:space="preserve">anonymously </w:t>
      </w:r>
      <w:r w:rsidRPr="00D67B18">
        <w:rPr>
          <w:rFonts w:ascii="Garamond" w:hAnsi="Garamond" w:cs="Arial"/>
          <w:szCs w:val="24"/>
        </w:rPr>
        <w:t>within Statistics Denmark, a governmental institution that collects and maintains electronic records for a broad spectrum of stat</w:t>
      </w:r>
      <w:r w:rsidR="00E56EAF" w:rsidRPr="00D67B18">
        <w:rPr>
          <w:rFonts w:ascii="Garamond" w:hAnsi="Garamond" w:cs="Arial"/>
          <w:szCs w:val="24"/>
        </w:rPr>
        <w:t>istical and scientific purposes</w:t>
      </w:r>
      <w:r w:rsidR="00DD086D">
        <w:rPr>
          <w:rFonts w:ascii="Garamond" w:hAnsi="Garamond" w:cs="Arial"/>
          <w:szCs w:val="24"/>
        </w:rPr>
        <w:t xml:space="preserve"> </w:t>
      </w:r>
      <w:r w:rsidR="00F30688">
        <w:rPr>
          <w:rFonts w:ascii="Garamond" w:hAnsi="Garamond" w:cs="Arial"/>
          <w:szCs w:val="24"/>
        </w:rPr>
        <w:fldChar w:fldCharType="begin">
          <w:fldData xml:space="preserve">PFJlZm1hbj48Q2l0ZT48QXV0aG9yPkJhYWRzZ2FhcmQ8L0F1dGhvcj48WWVhcj4yMDExPC9ZZWFy
PjxSZWNOdW0+MjgxPC9SZWNOdW0+PElEVGV4dD5EYW5pc2ggcmVnaXN0ZXJzIG9uIHBlcnNvbmFs
IGluY29tZSBhbmQgdHJhbnNmZXIgcGF5bWVudHM8L0lEVGV4dD48TURMIFJlZl9UeXBlPSJKb3Vy
bmFsIj48UmVmX1R5cGU+Sm91cm5hbDwvUmVmX1R5cGU+PFJlZl9JRD4yODE8L1JlZl9JRD48VGl0
bGVfUHJpbWFyeT5EYW5pc2ggcmVnaXN0ZXJzIG9uIHBlcnNvbmFsIGluY29tZSBhbmQgdHJhbnNm
ZXIgcGF5bWVudHM8L1RpdGxlX1ByaW1hcnk+PEF1dGhvcnNfUHJpbWFyeT5CYWFkc2dhYXJkLE0u
PC9BdXRob3JzX1ByaW1hcnk+PEF1dGhvcnNfUHJpbWFyeT5RdWl0emF1LEouPC9BdXRob3JzX1By
aW1hcnk+PERhdGVfUHJpbWFyeT4yMDExLzc8L0RhdGVfUHJpbWFyeT48S2V5d29yZHM+RGVubWFy
azwvS2V5d29yZHM+PEtleXdvcmRzPkh1bWFuczwvS2V5d29yZHM+PEtleXdvcmRzPkluY29tZTwv
S2V5d29yZHM+PEtleXdvcmRzPlBlbnNpb25zPC9LZXl3b3Jkcz48S2V5d29yZHM+UmVnaXN0cmll
czwvS2V5d29yZHM+PEtleXdvcmRzPlNhbGFyaWVzIGFuZCBGcmluZ2UgQmVuZWZpdHM8L0tleXdv
cmRzPjxLZXl3b3Jkcz5TaWNrIExlYXZlPC9LZXl3b3Jkcz48S2V5d29yZHM+U29jaWFsIFNlY3Vy
aXR5PC9LZXl3b3Jkcz48S2V5d29yZHM+U29jaW9lY29ub21pYyBGYWN0b3JzPC9LZXl3b3Jkcz48
S2V5d29yZHM+c3RhbmRhcmRzPC9LZXl3b3Jkcz48S2V5d29yZHM+VHJhbnNwb3J0YXRpb248L0tl
eXdvcmRzPjxSZXByaW50Pk5vdCBpbiBGaWxlPC9SZXByaW50PjxTdGFydF9QYWdlPjEwMzwvU3Rh
cnRfUGFnZT48RW5kX1BhZ2U+MTA1PC9FbmRfUGFnZT48UGVyaW9kaWNhbD5TY2FuZC5KIFB1Ymxp
YyBIZWFsdGg8L1BlcmlvZGljYWw+PFZvbHVtZT4zOTwvVm9sdW1lPjxJc3N1ZT43IFN1cHBsPC9J
c3N1ZT48TWlzY18zPjM5Lzdfc3VwcGwvMTAzIFtwaWldOzEwLjExNzcvMTQwMzQ5NDgxMTQwNTA5
OCBbZG9pXTwvTWlzY18zPjxBZGRyZXNzPlN0YXRpc3RpY3MgRGVubWFyaywgU2Vqcm9nYWRlLCAy
MTAwIENvcGVuaGFnZW4gTywgRGVubWFyazwvQWRkcmVzcz48V2ViX1VSTD5QTToyMTc3NTM2NTwv
V2ViX1VSTD48WlpfSm91cm5hbEZ1bGw+PGYgbmFtZT0iU3lzdGVtIj5TY2FuZC5KIFB1YmxpYyBI
ZWFsdGg8L2Y+PC9aWl9Kb3VybmFsRnVsbD48WlpfV29ya2Zvcm1JRD4xPC9aWl9Xb3JrZm9ybUlE
PjwvTURMPjwvQ2l0ZT48Q2l0ZT48QXV0aG9yPkplbnNlbjwvQXV0aG9yPjxZZWFyPjIwMTE8L1ll
YXI+PFJlY051bT4yODI8L1JlY051bT48SURUZXh0PkRhbmlzaCBFZHVjYXRpb24gUmVnaXN0ZXJz
PC9JRFRleHQ+PE1ETCBSZWZfVHlwZT0iSm91cm5hbCI+PFJlZl9UeXBlPkpvdXJuYWw8L1JlZl9U
eXBlPjxSZWZfSUQ+MjgyPC9SZWZfSUQ+PFRpdGxlX1ByaW1hcnk+RGFuaXNoIEVkdWNhdGlvbiBS
ZWdpc3RlcnM8L1RpdGxlX1ByaW1hcnk+PEF1dGhvcnNfUHJpbWFyeT5KZW5zZW4sVi5NLjwvQXV0
aG9yc19QcmltYXJ5PjxBdXRob3JzX1ByaW1hcnk+UmFzbXVzc2VuLEEuVy48L0F1dGhvcnNfUHJp
bWFyeT48RGF0ZV9QcmltYXJ5PjIwMTEvNzwvRGF0ZV9QcmltYXJ5PjxLZXl3b3Jkcz5BZHVsdDwv
S2V5d29yZHM+PEtleXdvcmRzPkFnZWQ8L0tleXdvcmRzPjxLZXl3b3Jkcz5DaGlsZDwvS2V5d29y
ZHM+PEtleXdvcmRzPkRlbm1hcms8L0tleXdvcmRzPjxLZXl3b3Jkcz5FZHVjYXRpb24sQ29udGlu
dWluZzwvS2V5d29yZHM+PEtleXdvcmRzPkVkdWNhdGlvbmFsIFN0YXR1czwvS2V5d29yZHM+PEtl
eXdvcmRzPkh1bWFuczwvS2V5d29yZHM+PEtleXdvcmRzPlJlZ2lzdHJpZXM8L0tleXdvcmRzPjxL
ZXl3b3Jkcz5SZXNlYXJjaDwvS2V5d29yZHM+PEtleXdvcmRzPnN0YW5kYXJkczwvS2V5d29yZHM+
PFJlcHJpbnQ+Tm90IGluIEZpbGU8L1JlcHJpbnQ+PFN0YXJ0X1BhZ2U+OTE8L1N0YXJ0X1BhZ2U+
PEVuZF9QYWdlPjk0PC9FbmRfUGFnZT48UGVyaW9kaWNhbD5TY2FuZC5KIFB1YmxpYyBIZWFsdGg8
L1BlcmlvZGljYWw+PFZvbHVtZT4zOTwvVm9sdW1lPjxJc3N1ZT43IFN1cHBsPC9Jc3N1ZT48TWlz
Y18zPjM5Lzdfc3VwcGwvOTEgW3BpaV07MTAuMTE3Ny8xNDAzNDk0ODEwMzk0NzE1IFtkb2ldPC9N
aXNjXzM+PFdlYl9VUkw+UE06MjE3NzUzNjI8L1dlYl9VUkw+PFpaX0pvdXJuYWxGdWxsPjxmIG5h
bWU9IlN5c3RlbSI+U2NhbmQuSiBQdWJsaWMgSGVhbHRoPC9mPjwvWlpfSm91cm5hbEZ1bGw+PFpa
X1dvcmtmb3JtSUQ+MTwvWlpfV29ya2Zvcm1JRD48L01ETD48L0NpdGU+PC9SZWZtYW4+AG==
</w:fldData>
        </w:fldChar>
      </w:r>
      <w:r w:rsidR="00A817DF">
        <w:rPr>
          <w:rFonts w:ascii="Garamond" w:hAnsi="Garamond" w:cs="Arial"/>
          <w:szCs w:val="24"/>
        </w:rPr>
        <w:instrText xml:space="preserve"> ADDIN REFMGR.CITE </w:instrText>
      </w:r>
      <w:r w:rsidR="00F30688">
        <w:rPr>
          <w:rFonts w:ascii="Garamond" w:hAnsi="Garamond" w:cs="Arial"/>
          <w:szCs w:val="24"/>
        </w:rPr>
        <w:fldChar w:fldCharType="begin">
          <w:fldData xml:space="preserve">PFJlZm1hbj48Q2l0ZT48QXV0aG9yPkJhYWRzZ2FhcmQ8L0F1dGhvcj48WWVhcj4yMDExPC9ZZWFy
PjxSZWNOdW0+MjgxPC9SZWNOdW0+PElEVGV4dD5EYW5pc2ggcmVnaXN0ZXJzIG9uIHBlcnNvbmFs
IGluY29tZSBhbmQgdHJhbnNmZXIgcGF5bWVudHM8L0lEVGV4dD48TURMIFJlZl9UeXBlPSJKb3Vy
bmFsIj48UmVmX1R5cGU+Sm91cm5hbDwvUmVmX1R5cGU+PFJlZl9JRD4yODE8L1JlZl9JRD48VGl0
bGVfUHJpbWFyeT5EYW5pc2ggcmVnaXN0ZXJzIG9uIHBlcnNvbmFsIGluY29tZSBhbmQgdHJhbnNm
ZXIgcGF5bWVudHM8L1RpdGxlX1ByaW1hcnk+PEF1dGhvcnNfUHJpbWFyeT5CYWFkc2dhYXJkLE0u
PC9BdXRob3JzX1ByaW1hcnk+PEF1dGhvcnNfUHJpbWFyeT5RdWl0emF1LEouPC9BdXRob3JzX1By
aW1hcnk+PERhdGVfUHJpbWFyeT4yMDExLzc8L0RhdGVfUHJpbWFyeT48S2V5d29yZHM+RGVubWFy
azwvS2V5d29yZHM+PEtleXdvcmRzPkh1bWFuczwvS2V5d29yZHM+PEtleXdvcmRzPkluY29tZTwv
S2V5d29yZHM+PEtleXdvcmRzPlBlbnNpb25zPC9LZXl3b3Jkcz48S2V5d29yZHM+UmVnaXN0cmll
czwvS2V5d29yZHM+PEtleXdvcmRzPlNhbGFyaWVzIGFuZCBGcmluZ2UgQmVuZWZpdHM8L0tleXdv
cmRzPjxLZXl3b3Jkcz5TaWNrIExlYXZlPC9LZXl3b3Jkcz48S2V5d29yZHM+U29jaWFsIFNlY3Vy
aXR5PC9LZXl3b3Jkcz48S2V5d29yZHM+U29jaW9lY29ub21pYyBGYWN0b3JzPC9LZXl3b3Jkcz48
S2V5d29yZHM+c3RhbmRhcmRzPC9LZXl3b3Jkcz48S2V5d29yZHM+VHJhbnNwb3J0YXRpb248L0tl
eXdvcmRzPjxSZXByaW50Pk5vdCBpbiBGaWxlPC9SZXByaW50PjxTdGFydF9QYWdlPjEwMzwvU3Rh
cnRfUGFnZT48RW5kX1BhZ2U+MTA1PC9FbmRfUGFnZT48UGVyaW9kaWNhbD5TY2FuZC5KIFB1Ymxp
YyBIZWFsdGg8L1BlcmlvZGljYWw+PFZvbHVtZT4zOTwvVm9sdW1lPjxJc3N1ZT43IFN1cHBsPC9J
c3N1ZT48TWlzY18zPjM5Lzdfc3VwcGwvMTAzIFtwaWldOzEwLjExNzcvMTQwMzQ5NDgxMTQwNTA5
OCBbZG9pXTwvTWlzY18zPjxBZGRyZXNzPlN0YXRpc3RpY3MgRGVubWFyaywgU2Vqcm9nYWRlLCAy
MTAwIENvcGVuaGFnZW4gTywgRGVubWFyazwvQWRkcmVzcz48V2ViX1VSTD5QTToyMTc3NTM2NTwv
V2ViX1VSTD48WlpfSm91cm5hbEZ1bGw+PGYgbmFtZT0iU3lzdGVtIj5TY2FuZC5KIFB1YmxpYyBI
ZWFsdGg8L2Y+PC9aWl9Kb3VybmFsRnVsbD48WlpfV29ya2Zvcm1JRD4xPC9aWl9Xb3JrZm9ybUlE
PjwvTURMPjwvQ2l0ZT48Q2l0ZT48QXV0aG9yPkplbnNlbjwvQXV0aG9yPjxZZWFyPjIwMTE8L1ll
YXI+PFJlY051bT4yODI8L1JlY051bT48SURUZXh0PkRhbmlzaCBFZHVjYXRpb24gUmVnaXN0ZXJz
PC9JRFRleHQ+PE1ETCBSZWZfVHlwZT0iSm91cm5hbCI+PFJlZl9UeXBlPkpvdXJuYWw8L1JlZl9U
eXBlPjxSZWZfSUQ+MjgyPC9SZWZfSUQ+PFRpdGxlX1ByaW1hcnk+RGFuaXNoIEVkdWNhdGlvbiBS
ZWdpc3RlcnM8L1RpdGxlX1ByaW1hcnk+PEF1dGhvcnNfUHJpbWFyeT5KZW5zZW4sVi5NLjwvQXV0
aG9yc19QcmltYXJ5PjxBdXRob3JzX1ByaW1hcnk+UmFzbXVzc2VuLEEuVy48L0F1dGhvcnNfUHJp
bWFyeT48RGF0ZV9QcmltYXJ5PjIwMTEvNzwvRGF0ZV9QcmltYXJ5PjxLZXl3b3Jkcz5BZHVsdDwv
S2V5d29yZHM+PEtleXdvcmRzPkFnZWQ8L0tleXdvcmRzPjxLZXl3b3Jkcz5DaGlsZDwvS2V5d29y
ZHM+PEtleXdvcmRzPkRlbm1hcms8L0tleXdvcmRzPjxLZXl3b3Jkcz5FZHVjYXRpb24sQ29udGlu
dWluZzwvS2V5d29yZHM+PEtleXdvcmRzPkVkdWNhdGlvbmFsIFN0YXR1czwvS2V5d29yZHM+PEtl
eXdvcmRzPkh1bWFuczwvS2V5d29yZHM+PEtleXdvcmRzPlJlZ2lzdHJpZXM8L0tleXdvcmRzPjxL
ZXl3b3Jkcz5SZXNlYXJjaDwvS2V5d29yZHM+PEtleXdvcmRzPnN0YW5kYXJkczwvS2V5d29yZHM+
PFJlcHJpbnQ+Tm90IGluIEZpbGU8L1JlcHJpbnQ+PFN0YXJ0X1BhZ2U+OTE8L1N0YXJ0X1BhZ2U+
PEVuZF9QYWdlPjk0PC9FbmRfUGFnZT48UGVyaW9kaWNhbD5TY2FuZC5KIFB1YmxpYyBIZWFsdGg8
L1BlcmlvZGljYWw+PFZvbHVtZT4zOTwvVm9sdW1lPjxJc3N1ZT43IFN1cHBsPC9Jc3N1ZT48TWlz
Y18zPjM5Lzdfc3VwcGwvOTEgW3BpaV07MTAuMTE3Ny8xNDAzNDk0ODEwMzk0NzE1IFtkb2ldPC9N
aXNjXzM+PFdlYl9VUkw+UE06MjE3NzUzNjI8L1dlYl9VUkw+PFpaX0pvdXJuYWxGdWxsPjxmIG5h
bWU9IlN5c3RlbSI+U2NhbmQuSiBQdWJsaWMgSGVhbHRoPC9mPjwvWlpfSm91cm5hbEZ1bGw+PFpa
X1dvcmtmb3JtSUQ+MTwvWlpfV29ya2Zvcm1JRD48L01ETD48L0NpdGU+PC9SZWZtYW4+AG==
</w:fldData>
        </w:fldChar>
      </w:r>
      <w:r w:rsidR="00A817DF">
        <w:rPr>
          <w:rFonts w:ascii="Garamond" w:hAnsi="Garamond" w:cs="Arial"/>
          <w:szCs w:val="24"/>
        </w:rPr>
        <w:instrText xml:space="preserve"> ADDIN EN.CITE.DATA </w:instrText>
      </w:r>
      <w:r w:rsidR="00F30688">
        <w:rPr>
          <w:rFonts w:ascii="Garamond" w:hAnsi="Garamond" w:cs="Arial"/>
          <w:szCs w:val="24"/>
        </w:rPr>
      </w:r>
      <w:r w:rsidR="00F30688">
        <w:rPr>
          <w:rFonts w:ascii="Garamond" w:hAnsi="Garamond" w:cs="Arial"/>
          <w:szCs w:val="24"/>
        </w:rPr>
        <w:fldChar w:fldCharType="end"/>
      </w:r>
      <w:r w:rsidR="00F30688">
        <w:rPr>
          <w:rFonts w:ascii="Garamond" w:hAnsi="Garamond" w:cs="Arial"/>
          <w:szCs w:val="24"/>
        </w:rPr>
      </w:r>
      <w:r w:rsidR="00F30688">
        <w:rPr>
          <w:rFonts w:ascii="Garamond" w:hAnsi="Garamond" w:cs="Arial"/>
          <w:szCs w:val="24"/>
        </w:rPr>
        <w:fldChar w:fldCharType="separate"/>
      </w:r>
      <w:r w:rsidR="00A817DF">
        <w:rPr>
          <w:rFonts w:ascii="Garamond" w:hAnsi="Garamond" w:cs="Arial"/>
          <w:noProof/>
          <w:szCs w:val="24"/>
        </w:rPr>
        <w:t>(6;7)</w:t>
      </w:r>
      <w:r w:rsidR="00F30688">
        <w:rPr>
          <w:rFonts w:ascii="Garamond" w:hAnsi="Garamond" w:cs="Arial"/>
          <w:szCs w:val="24"/>
        </w:rPr>
        <w:fldChar w:fldCharType="end"/>
      </w:r>
      <w:r w:rsidRPr="00D67B18">
        <w:rPr>
          <w:rFonts w:ascii="Garamond" w:hAnsi="Garamond" w:cs="Arial"/>
          <w:szCs w:val="24"/>
        </w:rPr>
        <w:t>.</w:t>
      </w:r>
    </w:p>
    <w:p w:rsidR="00400A04" w:rsidRPr="00D67B18" w:rsidRDefault="00400A04" w:rsidP="00D67B18">
      <w:pPr>
        <w:spacing w:before="120" w:line="360" w:lineRule="auto"/>
        <w:jc w:val="both"/>
        <w:rPr>
          <w:rFonts w:ascii="Garamond" w:hAnsi="Garamond" w:cs="Arial"/>
          <w:szCs w:val="24"/>
        </w:rPr>
      </w:pPr>
    </w:p>
    <w:p w:rsidR="00E56EAF" w:rsidRPr="00D67B18" w:rsidRDefault="00E56EAF" w:rsidP="00D67B18">
      <w:pPr>
        <w:spacing w:before="120" w:line="360" w:lineRule="auto"/>
        <w:jc w:val="both"/>
        <w:rPr>
          <w:rFonts w:ascii="Garamond" w:hAnsi="Garamond" w:cs="Arial"/>
          <w:b/>
          <w:szCs w:val="24"/>
        </w:rPr>
      </w:pPr>
      <w:r w:rsidRPr="00D67B18">
        <w:rPr>
          <w:rFonts w:ascii="Garamond" w:hAnsi="Garamond" w:cs="Arial"/>
          <w:b/>
          <w:szCs w:val="24"/>
        </w:rPr>
        <w:t>Pregnancies</w:t>
      </w:r>
    </w:p>
    <w:p w:rsidR="00364A2E" w:rsidRDefault="009A1934" w:rsidP="00364A2E">
      <w:pPr>
        <w:spacing w:before="120" w:line="360" w:lineRule="auto"/>
        <w:jc w:val="both"/>
        <w:rPr>
          <w:rFonts w:ascii="Garamond" w:hAnsi="Garamond" w:cs="Arial"/>
          <w:szCs w:val="24"/>
        </w:rPr>
      </w:pPr>
      <w:r>
        <w:rPr>
          <w:rFonts w:ascii="Garamond" w:hAnsi="Garamond" w:cs="Arial"/>
          <w:szCs w:val="24"/>
        </w:rPr>
        <w:t xml:space="preserve">Pregnancies were identified using the Medical Birth Registry. As this registry only includes pregnancies resulting in births, either stillborn or live born, pregnancies terminated prior to birth, i.e. both spontaneous and elective abortions, were not included in our material. </w:t>
      </w:r>
      <w:r w:rsidR="00F326C9">
        <w:rPr>
          <w:rFonts w:ascii="Garamond" w:hAnsi="Garamond" w:cs="Arial"/>
          <w:szCs w:val="24"/>
        </w:rPr>
        <w:t>As malformations are incompletely registered in stillborn children, we only included pregnancies resulting in live births</w:t>
      </w:r>
      <w:r>
        <w:rPr>
          <w:rFonts w:ascii="Garamond" w:hAnsi="Garamond" w:cs="Arial"/>
          <w:szCs w:val="24"/>
        </w:rPr>
        <w:t xml:space="preserve"> (the infant survived ≥1 day)</w:t>
      </w:r>
      <w:r w:rsidR="00364A2E">
        <w:rPr>
          <w:rFonts w:ascii="Garamond" w:hAnsi="Garamond" w:cs="Arial"/>
          <w:szCs w:val="24"/>
        </w:rPr>
        <w:t>.</w:t>
      </w:r>
    </w:p>
    <w:p w:rsidR="00F326C9" w:rsidRDefault="00F326C9" w:rsidP="00F326C9">
      <w:pPr>
        <w:spacing w:before="120" w:line="360" w:lineRule="auto"/>
        <w:jc w:val="both"/>
        <w:rPr>
          <w:rFonts w:ascii="Garamond" w:hAnsi="Garamond" w:cs="Arial"/>
          <w:szCs w:val="24"/>
        </w:rPr>
      </w:pPr>
      <w:r>
        <w:rPr>
          <w:rFonts w:ascii="Garamond" w:hAnsi="Garamond" w:cs="Arial"/>
          <w:szCs w:val="24"/>
        </w:rPr>
        <w:t xml:space="preserve">Exploratory analysis showed that maternal use of MPH was very rare (one subject) prior to 1 January 2005. Also, </w:t>
      </w:r>
      <w:r w:rsidRPr="00D67B18">
        <w:rPr>
          <w:rFonts w:ascii="Garamond" w:hAnsi="Garamond" w:cs="Arial"/>
          <w:szCs w:val="24"/>
        </w:rPr>
        <w:t xml:space="preserve">we required at least six months of follow-up for the child after birth, to be able to assess malformations that were not detected at birth. Therefore </w:t>
      </w:r>
      <w:r>
        <w:rPr>
          <w:rFonts w:ascii="Garamond" w:hAnsi="Garamond" w:cs="Arial"/>
          <w:szCs w:val="24"/>
        </w:rPr>
        <w:t xml:space="preserve">we only included </w:t>
      </w:r>
      <w:r w:rsidRPr="00D67B18">
        <w:rPr>
          <w:rFonts w:ascii="Garamond" w:hAnsi="Garamond" w:cs="Arial"/>
          <w:szCs w:val="24"/>
        </w:rPr>
        <w:t xml:space="preserve">pregnancies </w:t>
      </w:r>
      <w:r>
        <w:rPr>
          <w:rFonts w:ascii="Garamond" w:hAnsi="Garamond" w:cs="Arial"/>
          <w:szCs w:val="24"/>
        </w:rPr>
        <w:t>terminated after</w:t>
      </w:r>
      <w:r w:rsidRPr="00D67B18">
        <w:rPr>
          <w:rFonts w:ascii="Garamond" w:hAnsi="Garamond" w:cs="Arial"/>
          <w:szCs w:val="24"/>
        </w:rPr>
        <w:t xml:space="preserve"> </w:t>
      </w:r>
      <w:r>
        <w:rPr>
          <w:rFonts w:ascii="Garamond" w:hAnsi="Garamond" w:cs="Arial"/>
          <w:szCs w:val="24"/>
        </w:rPr>
        <w:t xml:space="preserve">1 </w:t>
      </w:r>
      <w:r w:rsidRPr="00D67B18">
        <w:rPr>
          <w:rFonts w:ascii="Garamond" w:hAnsi="Garamond" w:cs="Arial"/>
          <w:szCs w:val="24"/>
        </w:rPr>
        <w:t>January 200</w:t>
      </w:r>
      <w:r>
        <w:rPr>
          <w:rFonts w:ascii="Garamond" w:hAnsi="Garamond" w:cs="Arial"/>
          <w:szCs w:val="24"/>
        </w:rPr>
        <w:t>5</w:t>
      </w:r>
      <w:r w:rsidRPr="00D67B18">
        <w:rPr>
          <w:rFonts w:ascii="Garamond" w:hAnsi="Garamond" w:cs="Arial"/>
          <w:szCs w:val="24"/>
        </w:rPr>
        <w:t xml:space="preserve"> and </w:t>
      </w:r>
      <w:r>
        <w:rPr>
          <w:rFonts w:ascii="Garamond" w:hAnsi="Garamond" w:cs="Arial"/>
          <w:szCs w:val="24"/>
        </w:rPr>
        <w:t xml:space="preserve">before 1 July </w:t>
      </w:r>
      <w:r w:rsidRPr="00D67B18">
        <w:rPr>
          <w:rFonts w:ascii="Garamond" w:hAnsi="Garamond" w:cs="Arial"/>
          <w:szCs w:val="24"/>
        </w:rPr>
        <w:t>201</w:t>
      </w:r>
      <w:r>
        <w:rPr>
          <w:rFonts w:ascii="Garamond" w:hAnsi="Garamond" w:cs="Arial"/>
          <w:szCs w:val="24"/>
        </w:rPr>
        <w:t>2</w:t>
      </w:r>
      <w:r w:rsidRPr="00D67B18">
        <w:rPr>
          <w:rFonts w:ascii="Garamond" w:hAnsi="Garamond" w:cs="Arial"/>
          <w:szCs w:val="24"/>
        </w:rPr>
        <w:t>.</w:t>
      </w:r>
      <w:r>
        <w:rPr>
          <w:rFonts w:ascii="Garamond" w:hAnsi="Garamond" w:cs="Arial"/>
          <w:szCs w:val="24"/>
        </w:rPr>
        <w:t xml:space="preserve"> </w:t>
      </w:r>
    </w:p>
    <w:p w:rsidR="00F326C9" w:rsidRPr="00D67B18" w:rsidRDefault="00F326C9" w:rsidP="00364A2E">
      <w:pPr>
        <w:spacing w:before="120" w:line="360" w:lineRule="auto"/>
        <w:jc w:val="both"/>
        <w:rPr>
          <w:rFonts w:ascii="Garamond" w:hAnsi="Garamond" w:cs="Arial"/>
          <w:szCs w:val="24"/>
        </w:rPr>
      </w:pPr>
      <w:r w:rsidRPr="00D67B18">
        <w:rPr>
          <w:rFonts w:ascii="Garamond" w:hAnsi="Garamond" w:cs="Arial"/>
          <w:szCs w:val="24"/>
        </w:rPr>
        <w:t xml:space="preserve">To be able to assess drug exposure, we defined a period corresponding to the first trimester for each pregnancy. We did so using information from the Danish Birth Registry: We took the date of termination of the pregnancy and subtracted the gestational age at termination as estimated in the registry. </w:t>
      </w:r>
      <w:r>
        <w:rPr>
          <w:rFonts w:ascii="Garamond" w:hAnsi="Garamond" w:cs="Arial"/>
          <w:szCs w:val="24"/>
        </w:rPr>
        <w:t xml:space="preserve">The resulting date estimates the date of the end of the last menstruation. </w:t>
      </w:r>
      <w:r w:rsidRPr="00D67B18">
        <w:rPr>
          <w:rFonts w:ascii="Garamond" w:hAnsi="Garamond" w:cs="Arial"/>
          <w:szCs w:val="24"/>
        </w:rPr>
        <w:t xml:space="preserve">We </w:t>
      </w:r>
      <w:r>
        <w:rPr>
          <w:rFonts w:ascii="Garamond" w:hAnsi="Garamond" w:cs="Arial"/>
          <w:szCs w:val="24"/>
        </w:rPr>
        <w:t xml:space="preserve">therefore </w:t>
      </w:r>
      <w:r w:rsidRPr="00D67B18">
        <w:rPr>
          <w:rFonts w:ascii="Garamond" w:hAnsi="Garamond" w:cs="Arial"/>
          <w:szCs w:val="24"/>
        </w:rPr>
        <w:t>d</w:t>
      </w:r>
      <w:r>
        <w:rPr>
          <w:rFonts w:ascii="Garamond" w:hAnsi="Garamond" w:cs="Arial"/>
          <w:szCs w:val="24"/>
        </w:rPr>
        <w:t>efined the first trimester as an interval from the 15</w:t>
      </w:r>
      <w:r w:rsidRPr="005601AD">
        <w:rPr>
          <w:rFonts w:ascii="Garamond" w:hAnsi="Garamond" w:cs="Arial"/>
          <w:szCs w:val="24"/>
          <w:vertAlign w:val="superscript"/>
        </w:rPr>
        <w:t>th</w:t>
      </w:r>
      <w:r>
        <w:rPr>
          <w:rFonts w:ascii="Garamond" w:hAnsi="Garamond" w:cs="Arial"/>
          <w:szCs w:val="24"/>
        </w:rPr>
        <w:t xml:space="preserve"> day to the 84</w:t>
      </w:r>
      <w:r w:rsidRPr="005601AD">
        <w:rPr>
          <w:rFonts w:ascii="Garamond" w:hAnsi="Garamond" w:cs="Arial"/>
          <w:szCs w:val="24"/>
          <w:vertAlign w:val="superscript"/>
        </w:rPr>
        <w:t>th</w:t>
      </w:r>
      <w:r>
        <w:rPr>
          <w:rFonts w:ascii="Garamond" w:hAnsi="Garamond" w:cs="Arial"/>
          <w:szCs w:val="24"/>
        </w:rPr>
        <w:t xml:space="preserve"> day from this date.</w:t>
      </w:r>
      <w:r w:rsidRPr="00D67B18">
        <w:rPr>
          <w:rFonts w:ascii="Garamond" w:hAnsi="Garamond" w:cs="Arial"/>
          <w:szCs w:val="24"/>
        </w:rPr>
        <w:t xml:space="preserve"> </w:t>
      </w:r>
    </w:p>
    <w:p w:rsidR="00EF620D" w:rsidRPr="00D67B18" w:rsidRDefault="00790270" w:rsidP="00D67B18">
      <w:pPr>
        <w:spacing w:before="120" w:line="360" w:lineRule="auto"/>
        <w:jc w:val="both"/>
        <w:rPr>
          <w:rFonts w:ascii="Garamond" w:hAnsi="Garamond" w:cs="Arial"/>
          <w:szCs w:val="24"/>
        </w:rPr>
      </w:pPr>
      <w:r>
        <w:rPr>
          <w:rFonts w:ascii="Garamond" w:hAnsi="Garamond" w:cs="Arial"/>
          <w:szCs w:val="24"/>
        </w:rPr>
        <w:t>W</w:t>
      </w:r>
      <w:r w:rsidR="00034209">
        <w:rPr>
          <w:rFonts w:ascii="Garamond" w:hAnsi="Garamond" w:cs="Arial"/>
          <w:szCs w:val="24"/>
        </w:rPr>
        <w:t>e</w:t>
      </w:r>
      <w:r w:rsidR="00EF620D" w:rsidRPr="00D67B18">
        <w:rPr>
          <w:rFonts w:ascii="Garamond" w:hAnsi="Garamond" w:cs="Arial"/>
          <w:szCs w:val="24"/>
        </w:rPr>
        <w:t xml:space="preserve"> excluded </w:t>
      </w:r>
      <w:r w:rsidR="00D67B18">
        <w:rPr>
          <w:rFonts w:ascii="Garamond" w:hAnsi="Garamond" w:cs="Arial"/>
          <w:szCs w:val="24"/>
        </w:rPr>
        <w:t xml:space="preserve">multiple </w:t>
      </w:r>
      <w:r w:rsidR="00EF620D" w:rsidRPr="00D67B18">
        <w:rPr>
          <w:rFonts w:ascii="Garamond" w:hAnsi="Garamond" w:cs="Arial"/>
          <w:szCs w:val="24"/>
        </w:rPr>
        <w:t>pregnancies</w:t>
      </w:r>
      <w:r w:rsidR="006A1BAF">
        <w:rPr>
          <w:rFonts w:ascii="Garamond" w:hAnsi="Garamond" w:cs="Arial"/>
          <w:szCs w:val="24"/>
        </w:rPr>
        <w:t xml:space="preserve">, </w:t>
      </w:r>
      <w:r w:rsidR="00D67B18">
        <w:rPr>
          <w:rFonts w:ascii="Garamond" w:hAnsi="Garamond" w:cs="Arial"/>
          <w:szCs w:val="24"/>
        </w:rPr>
        <w:t>pregnancies</w:t>
      </w:r>
      <w:r w:rsidR="00EF620D" w:rsidRPr="00D67B18">
        <w:rPr>
          <w:rFonts w:ascii="Garamond" w:hAnsi="Garamond" w:cs="Arial"/>
          <w:szCs w:val="24"/>
        </w:rPr>
        <w:t xml:space="preserve"> where the mother migrated to or from Denmark within five years prior to the initiation of the pregnancy or where the child migrated from Denmark within the </w:t>
      </w:r>
      <w:r w:rsidR="00D67B18">
        <w:rPr>
          <w:rFonts w:ascii="Garamond" w:hAnsi="Garamond" w:cs="Arial"/>
          <w:szCs w:val="24"/>
        </w:rPr>
        <w:t xml:space="preserve">six months </w:t>
      </w:r>
      <w:r w:rsidR="00EF620D" w:rsidRPr="00D67B18">
        <w:rPr>
          <w:rFonts w:ascii="Garamond" w:hAnsi="Garamond" w:cs="Arial"/>
          <w:szCs w:val="24"/>
        </w:rPr>
        <w:t>after being born.</w:t>
      </w:r>
      <w:r>
        <w:rPr>
          <w:rFonts w:ascii="Garamond" w:hAnsi="Garamond" w:cs="Arial"/>
          <w:szCs w:val="24"/>
        </w:rPr>
        <w:t xml:space="preserve"> </w:t>
      </w:r>
      <w:r w:rsidR="00F326C9">
        <w:rPr>
          <w:rFonts w:ascii="Garamond" w:hAnsi="Garamond" w:cs="Arial"/>
          <w:szCs w:val="24"/>
        </w:rPr>
        <w:t>Furthermore</w:t>
      </w:r>
      <w:r>
        <w:rPr>
          <w:rFonts w:ascii="Garamond" w:hAnsi="Garamond" w:cs="Arial"/>
          <w:szCs w:val="24"/>
        </w:rPr>
        <w:t xml:space="preserve">, we excluded pregnancies where the mother had used certain drugs that are rarely used but known to be highly teratogenic. These drugs were </w:t>
      </w:r>
      <w:r w:rsidRPr="00D67B18">
        <w:rPr>
          <w:rFonts w:ascii="Garamond" w:hAnsi="Garamond" w:cs="Arial"/>
          <w:szCs w:val="24"/>
        </w:rPr>
        <w:t xml:space="preserve">vitamin K-antagonists (B01AA), </w:t>
      </w:r>
      <w:proofErr w:type="spellStart"/>
      <w:r w:rsidRPr="00D67B18">
        <w:rPr>
          <w:rFonts w:ascii="Garamond" w:hAnsi="Garamond" w:cs="Arial"/>
          <w:szCs w:val="24"/>
        </w:rPr>
        <w:t>tetracyclines</w:t>
      </w:r>
      <w:proofErr w:type="spellEnd"/>
      <w:r w:rsidRPr="00D67B18">
        <w:rPr>
          <w:rFonts w:ascii="Garamond" w:hAnsi="Garamond" w:cs="Arial"/>
          <w:szCs w:val="24"/>
        </w:rPr>
        <w:t xml:space="preserve"> (J01AA)</w:t>
      </w:r>
      <w:r w:rsidR="00453256">
        <w:rPr>
          <w:rFonts w:ascii="Garamond" w:hAnsi="Garamond" w:cs="Arial"/>
          <w:szCs w:val="24"/>
        </w:rPr>
        <w:t>, ACE-inhibitors (</w:t>
      </w:r>
      <w:r w:rsidR="00453256" w:rsidRPr="00D67B18">
        <w:rPr>
          <w:rFonts w:ascii="Garamond" w:hAnsi="Garamond" w:cs="Arial"/>
          <w:szCs w:val="24"/>
        </w:rPr>
        <w:t>C09A and C09B</w:t>
      </w:r>
      <w:r w:rsidR="00453256">
        <w:rPr>
          <w:rFonts w:ascii="Garamond" w:hAnsi="Garamond" w:cs="Arial"/>
          <w:szCs w:val="24"/>
        </w:rPr>
        <w:t>)</w:t>
      </w:r>
      <w:r w:rsidR="00D96BAD">
        <w:rPr>
          <w:rFonts w:ascii="Garamond" w:hAnsi="Garamond" w:cs="Arial"/>
          <w:szCs w:val="24"/>
        </w:rPr>
        <w:t xml:space="preserve">, </w:t>
      </w:r>
      <w:proofErr w:type="spellStart"/>
      <w:r w:rsidRPr="00D67B18">
        <w:rPr>
          <w:rFonts w:ascii="Garamond" w:hAnsi="Garamond" w:cs="Arial"/>
          <w:szCs w:val="24"/>
        </w:rPr>
        <w:t>retinoids</w:t>
      </w:r>
      <w:proofErr w:type="spellEnd"/>
      <w:r w:rsidRPr="00D67B18">
        <w:rPr>
          <w:rFonts w:ascii="Garamond" w:hAnsi="Garamond" w:cs="Arial"/>
          <w:szCs w:val="24"/>
        </w:rPr>
        <w:t xml:space="preserve"> (D05BB, D10AD and D10BA)</w:t>
      </w:r>
      <w:r w:rsidR="00D96BAD">
        <w:rPr>
          <w:rFonts w:ascii="Garamond" w:hAnsi="Garamond" w:cs="Arial"/>
          <w:szCs w:val="24"/>
        </w:rPr>
        <w:t xml:space="preserve"> and selected antiepileptic drugs: carbamazepine (N03AF01), </w:t>
      </w:r>
      <w:proofErr w:type="spellStart"/>
      <w:r w:rsidR="00D96BAD">
        <w:rPr>
          <w:rFonts w:ascii="Garamond" w:hAnsi="Garamond" w:cs="Arial"/>
          <w:szCs w:val="24"/>
        </w:rPr>
        <w:t>oxcarbazepine</w:t>
      </w:r>
      <w:proofErr w:type="spellEnd"/>
      <w:r w:rsidR="00D96BAD">
        <w:rPr>
          <w:rFonts w:ascii="Garamond" w:hAnsi="Garamond" w:cs="Arial"/>
          <w:szCs w:val="24"/>
        </w:rPr>
        <w:t xml:space="preserve"> (N03AF02), phenytoin (N03AB02), </w:t>
      </w:r>
      <w:proofErr w:type="spellStart"/>
      <w:r w:rsidR="00D96BAD">
        <w:rPr>
          <w:rFonts w:ascii="Garamond" w:hAnsi="Garamond" w:cs="Arial"/>
          <w:szCs w:val="24"/>
        </w:rPr>
        <w:t>valproic</w:t>
      </w:r>
      <w:proofErr w:type="spellEnd"/>
      <w:r w:rsidR="00D96BAD">
        <w:rPr>
          <w:rFonts w:ascii="Garamond" w:hAnsi="Garamond" w:cs="Arial"/>
          <w:szCs w:val="24"/>
        </w:rPr>
        <w:t xml:space="preserve"> acid (N03AG01) and phenobarbital (N03AA02) </w:t>
      </w:r>
      <w:r w:rsidR="00F30688">
        <w:rPr>
          <w:rFonts w:ascii="Garamond" w:hAnsi="Garamond" w:cs="Arial"/>
          <w:szCs w:val="24"/>
        </w:rPr>
        <w:fldChar w:fldCharType="begin"/>
      </w:r>
      <w:r w:rsidR="00A817DF">
        <w:rPr>
          <w:rFonts w:ascii="Garamond" w:hAnsi="Garamond" w:cs="Arial"/>
          <w:szCs w:val="24"/>
        </w:rPr>
        <w:instrText xml:space="preserve"> ADDIN REFMGR.CITE &lt;Refman&gt;&lt;Cite&gt;&lt;Author&gt;Briggs&lt;/Author&gt;&lt;Year&gt;2011&lt;/Year&gt;&lt;RecNum&gt;285&lt;/RecNum&gt;&lt;IDText&gt;Drugs in Pregnancy and Lactation 9th ed.&lt;/IDText&gt;&lt;MDL Ref_Type="Book, Whole"&gt;&lt;Ref_Type&gt;Book, Whole&lt;/Ref_Type&gt;&lt;Ref_ID&gt;285&lt;/Ref_ID&gt;&lt;Title_Primary&gt;Drugs in Pregnancy and Lactation 9th ed.&lt;/Title_Primary&gt;&lt;Authors_Primary&gt;Briggs,GG&lt;/Authors_Primary&gt;&lt;Authors_Primary&gt;Freeman,RK&lt;/Authors_Primary&gt;&lt;Authors_Primary&gt;Yaffe,SJ&lt;/Authors_Primary&gt;&lt;Date_Primary&gt;2011&lt;/Date_Primary&gt;&lt;Reprint&gt;Not in File&lt;/Reprint&gt;&lt;Pub_Place&gt;Philadelphia, USA&lt;/Pub_Place&gt;&lt;Publisher&gt;Lippincott, Williams &amp;amp; Wilkins&lt;/Publisher&gt;&lt;ZZ_WorkformID&gt;2&lt;/ZZ_WorkformID&gt;&lt;/MDL&gt;&lt;/Cite&gt;&lt;/Refman&gt;</w:instrText>
      </w:r>
      <w:r w:rsidR="00F30688">
        <w:rPr>
          <w:rFonts w:ascii="Garamond" w:hAnsi="Garamond" w:cs="Arial"/>
          <w:szCs w:val="24"/>
        </w:rPr>
        <w:fldChar w:fldCharType="separate"/>
      </w:r>
      <w:r w:rsidR="00A817DF">
        <w:rPr>
          <w:rFonts w:ascii="Garamond" w:hAnsi="Garamond" w:cs="Arial"/>
          <w:noProof/>
          <w:szCs w:val="24"/>
        </w:rPr>
        <w:t>(8)</w:t>
      </w:r>
      <w:r w:rsidR="00F30688">
        <w:rPr>
          <w:rFonts w:ascii="Garamond" w:hAnsi="Garamond" w:cs="Arial"/>
          <w:szCs w:val="24"/>
        </w:rPr>
        <w:fldChar w:fldCharType="end"/>
      </w:r>
      <w:r w:rsidRPr="00D67B18">
        <w:rPr>
          <w:rFonts w:ascii="Garamond" w:hAnsi="Garamond" w:cs="Arial"/>
          <w:szCs w:val="24"/>
        </w:rPr>
        <w:t>.</w:t>
      </w:r>
      <w:r>
        <w:rPr>
          <w:rFonts w:ascii="Garamond" w:hAnsi="Garamond" w:cs="Arial"/>
          <w:szCs w:val="24"/>
        </w:rPr>
        <w:t xml:space="preserve"> Use of these drugs was defined as having </w:t>
      </w:r>
      <w:r w:rsidR="004A207D">
        <w:rPr>
          <w:rFonts w:ascii="Garamond" w:hAnsi="Garamond" w:cs="Arial"/>
          <w:szCs w:val="24"/>
        </w:rPr>
        <w:t>redeemed</w:t>
      </w:r>
      <w:r>
        <w:rPr>
          <w:rFonts w:ascii="Garamond" w:hAnsi="Garamond" w:cs="Arial"/>
          <w:szCs w:val="24"/>
        </w:rPr>
        <w:t xml:space="preserve"> a prescription within a time window defined as 180 days prior to the first trimester up to the end of the pregnancy.</w:t>
      </w:r>
    </w:p>
    <w:p w:rsidR="00E56EAF" w:rsidRPr="00D67B18" w:rsidRDefault="00E56EAF" w:rsidP="00D67B18">
      <w:pPr>
        <w:spacing w:before="120" w:line="360" w:lineRule="auto"/>
        <w:jc w:val="both"/>
        <w:rPr>
          <w:rFonts w:ascii="Garamond" w:hAnsi="Garamond" w:cs="Arial"/>
          <w:szCs w:val="24"/>
        </w:rPr>
      </w:pPr>
    </w:p>
    <w:p w:rsidR="00E56EAF" w:rsidRPr="00D67B18" w:rsidRDefault="00E56EAF" w:rsidP="00D67B18">
      <w:pPr>
        <w:spacing w:before="120" w:line="360" w:lineRule="auto"/>
        <w:jc w:val="both"/>
        <w:rPr>
          <w:rFonts w:ascii="Garamond" w:hAnsi="Garamond" w:cs="Arial"/>
          <w:b/>
          <w:szCs w:val="24"/>
        </w:rPr>
      </w:pPr>
      <w:r w:rsidRPr="00D67B18">
        <w:rPr>
          <w:rFonts w:ascii="Garamond" w:hAnsi="Garamond" w:cs="Arial"/>
          <w:b/>
          <w:szCs w:val="24"/>
        </w:rPr>
        <w:t>Cohorts</w:t>
      </w:r>
    </w:p>
    <w:p w:rsidR="00350548" w:rsidRPr="00D67B18" w:rsidRDefault="00350548" w:rsidP="00350548">
      <w:pPr>
        <w:spacing w:before="120" w:line="360" w:lineRule="auto"/>
        <w:jc w:val="both"/>
        <w:rPr>
          <w:rFonts w:ascii="Garamond" w:hAnsi="Garamond" w:cs="Arial"/>
          <w:szCs w:val="24"/>
        </w:rPr>
      </w:pPr>
      <w:r w:rsidRPr="00D67B18">
        <w:rPr>
          <w:rFonts w:ascii="Garamond" w:hAnsi="Garamond" w:cs="Arial"/>
          <w:szCs w:val="24"/>
        </w:rPr>
        <w:t xml:space="preserve">To be included in the </w:t>
      </w:r>
      <w:r w:rsidR="006362E4">
        <w:rPr>
          <w:rFonts w:ascii="Garamond" w:hAnsi="Garamond" w:cs="Arial"/>
          <w:szCs w:val="24"/>
        </w:rPr>
        <w:t xml:space="preserve">exposed </w:t>
      </w:r>
      <w:r w:rsidRPr="00D67B18">
        <w:rPr>
          <w:rFonts w:ascii="Garamond" w:hAnsi="Garamond" w:cs="Arial"/>
          <w:szCs w:val="24"/>
        </w:rPr>
        <w:t>cohort</w:t>
      </w:r>
      <w:r w:rsidR="006362E4">
        <w:rPr>
          <w:rFonts w:ascii="Garamond" w:hAnsi="Garamond" w:cs="Arial"/>
          <w:szCs w:val="24"/>
        </w:rPr>
        <w:t xml:space="preserve">, </w:t>
      </w:r>
      <w:r w:rsidRPr="00D67B18">
        <w:rPr>
          <w:rFonts w:ascii="Garamond" w:hAnsi="Garamond" w:cs="Arial"/>
          <w:szCs w:val="24"/>
        </w:rPr>
        <w:t xml:space="preserve">consisting of pregnancies exposed to </w:t>
      </w:r>
      <w:r>
        <w:rPr>
          <w:rFonts w:ascii="Garamond" w:hAnsi="Garamond" w:cs="Arial"/>
          <w:szCs w:val="24"/>
        </w:rPr>
        <w:t>MPH</w:t>
      </w:r>
      <w:r w:rsidRPr="00D67B18">
        <w:rPr>
          <w:rFonts w:ascii="Garamond" w:hAnsi="Garamond" w:cs="Arial"/>
          <w:szCs w:val="24"/>
        </w:rPr>
        <w:t xml:space="preserve"> in the first trimester, the mother was required to redeem </w:t>
      </w:r>
      <w:r w:rsidR="005601AD">
        <w:rPr>
          <w:rFonts w:ascii="Garamond" w:hAnsi="Garamond" w:cs="Arial"/>
          <w:szCs w:val="24"/>
        </w:rPr>
        <w:t>one</w:t>
      </w:r>
      <w:r w:rsidRPr="00D67B18">
        <w:rPr>
          <w:rFonts w:ascii="Garamond" w:hAnsi="Garamond" w:cs="Arial"/>
          <w:szCs w:val="24"/>
        </w:rPr>
        <w:t xml:space="preserve"> or more prescriptions for </w:t>
      </w:r>
      <w:r>
        <w:rPr>
          <w:rFonts w:ascii="Garamond" w:hAnsi="Garamond" w:cs="Arial"/>
          <w:szCs w:val="24"/>
        </w:rPr>
        <w:t xml:space="preserve">MPH (ATC, N06BA04) </w:t>
      </w:r>
      <w:r w:rsidRPr="00D67B18">
        <w:rPr>
          <w:rFonts w:ascii="Garamond" w:hAnsi="Garamond" w:cs="Arial"/>
          <w:szCs w:val="24"/>
        </w:rPr>
        <w:t xml:space="preserve">within </w:t>
      </w:r>
      <w:r>
        <w:rPr>
          <w:rFonts w:ascii="Garamond" w:hAnsi="Garamond" w:cs="Arial"/>
          <w:szCs w:val="24"/>
        </w:rPr>
        <w:t xml:space="preserve">a time window defined as </w:t>
      </w:r>
      <w:r w:rsidR="005601AD">
        <w:rPr>
          <w:rFonts w:ascii="Garamond" w:hAnsi="Garamond" w:cs="Arial"/>
          <w:szCs w:val="24"/>
        </w:rPr>
        <w:t>14</w:t>
      </w:r>
      <w:r w:rsidRPr="00D67B18">
        <w:rPr>
          <w:rFonts w:ascii="Garamond" w:hAnsi="Garamond" w:cs="Arial"/>
          <w:szCs w:val="24"/>
        </w:rPr>
        <w:t xml:space="preserve"> days before the beginning of the first trimester up to the end of the first trimester</w:t>
      </w:r>
      <w:r>
        <w:rPr>
          <w:rFonts w:ascii="Garamond" w:hAnsi="Garamond" w:cs="Arial"/>
          <w:szCs w:val="24"/>
        </w:rPr>
        <w:t xml:space="preserve">. </w:t>
      </w:r>
    </w:p>
    <w:p w:rsidR="00350548" w:rsidRDefault="00350548" w:rsidP="00D67B18">
      <w:pPr>
        <w:spacing w:before="120" w:line="360" w:lineRule="auto"/>
        <w:jc w:val="both"/>
        <w:rPr>
          <w:rFonts w:ascii="Garamond" w:hAnsi="Garamond" w:cs="Arial"/>
          <w:szCs w:val="24"/>
        </w:rPr>
      </w:pPr>
      <w:r>
        <w:rPr>
          <w:rFonts w:ascii="Garamond" w:hAnsi="Garamond" w:cs="Arial"/>
          <w:szCs w:val="24"/>
        </w:rPr>
        <w:t xml:space="preserve">The </w:t>
      </w:r>
      <w:r w:rsidR="006362E4">
        <w:rPr>
          <w:rFonts w:ascii="Garamond" w:hAnsi="Garamond" w:cs="Arial"/>
          <w:szCs w:val="24"/>
        </w:rPr>
        <w:t>unexposed</w:t>
      </w:r>
      <w:r>
        <w:rPr>
          <w:rFonts w:ascii="Garamond" w:hAnsi="Garamond" w:cs="Arial"/>
          <w:szCs w:val="24"/>
        </w:rPr>
        <w:t xml:space="preserve"> cohort included pregnancies where</w:t>
      </w:r>
      <w:r w:rsidRPr="00D67B18">
        <w:rPr>
          <w:rFonts w:ascii="Garamond" w:hAnsi="Garamond" w:cs="Arial"/>
          <w:szCs w:val="24"/>
        </w:rPr>
        <w:t xml:space="preserve"> the mother </w:t>
      </w:r>
      <w:r>
        <w:rPr>
          <w:rFonts w:ascii="Garamond" w:hAnsi="Garamond" w:cs="Arial"/>
          <w:szCs w:val="24"/>
        </w:rPr>
        <w:t xml:space="preserve">had </w:t>
      </w:r>
      <w:r w:rsidRPr="00D67B18">
        <w:rPr>
          <w:rFonts w:ascii="Garamond" w:hAnsi="Garamond" w:cs="Arial"/>
          <w:szCs w:val="24"/>
        </w:rPr>
        <w:t xml:space="preserve">never redeemed any prescription for </w:t>
      </w:r>
      <w:r>
        <w:rPr>
          <w:rFonts w:ascii="Garamond" w:hAnsi="Garamond" w:cs="Arial"/>
          <w:szCs w:val="24"/>
        </w:rPr>
        <w:t>any psychostimulant (ATC, N06BA)</w:t>
      </w:r>
      <w:r w:rsidRPr="00D67B18">
        <w:rPr>
          <w:rFonts w:ascii="Garamond" w:hAnsi="Garamond" w:cs="Arial"/>
          <w:szCs w:val="24"/>
        </w:rPr>
        <w:t xml:space="preserve"> at any time point prior to the end of the pregnancy.</w:t>
      </w:r>
    </w:p>
    <w:p w:rsidR="00E8197B" w:rsidRDefault="00E8197B" w:rsidP="00E8197B">
      <w:pPr>
        <w:spacing w:before="120" w:line="360" w:lineRule="auto"/>
        <w:jc w:val="both"/>
        <w:rPr>
          <w:rFonts w:ascii="Garamond" w:hAnsi="Garamond" w:cs="Arial"/>
          <w:szCs w:val="24"/>
        </w:rPr>
      </w:pPr>
      <w:r>
        <w:rPr>
          <w:rFonts w:ascii="Garamond" w:hAnsi="Garamond" w:cs="Arial"/>
          <w:szCs w:val="24"/>
        </w:rPr>
        <w:t xml:space="preserve">Using the above definitions, some </w:t>
      </w:r>
      <w:r w:rsidR="006362E4">
        <w:rPr>
          <w:rFonts w:ascii="Garamond" w:hAnsi="Garamond" w:cs="Arial"/>
          <w:szCs w:val="24"/>
        </w:rPr>
        <w:t xml:space="preserve">pregnancies </w:t>
      </w:r>
      <w:r>
        <w:rPr>
          <w:rFonts w:ascii="Garamond" w:hAnsi="Garamond" w:cs="Arial"/>
          <w:szCs w:val="24"/>
        </w:rPr>
        <w:t xml:space="preserve">failed to be included in </w:t>
      </w:r>
      <w:r w:rsidR="006362E4">
        <w:rPr>
          <w:rFonts w:ascii="Garamond" w:hAnsi="Garamond" w:cs="Arial"/>
          <w:szCs w:val="24"/>
        </w:rPr>
        <w:t>either cohort</w:t>
      </w:r>
      <w:r>
        <w:rPr>
          <w:rFonts w:ascii="Garamond" w:hAnsi="Garamond" w:cs="Arial"/>
          <w:szCs w:val="24"/>
        </w:rPr>
        <w:t xml:space="preserve">. This was intentional, as to avoid bias from misclassification, and was subject to sensitivity analyses (see below). </w:t>
      </w:r>
    </w:p>
    <w:p w:rsidR="00350548" w:rsidRDefault="00350548" w:rsidP="00D67B18">
      <w:pPr>
        <w:spacing w:before="120" w:line="360" w:lineRule="auto"/>
        <w:jc w:val="both"/>
        <w:rPr>
          <w:rFonts w:ascii="Garamond" w:hAnsi="Garamond" w:cs="Arial"/>
          <w:szCs w:val="24"/>
        </w:rPr>
      </w:pPr>
    </w:p>
    <w:p w:rsidR="00350548" w:rsidRPr="00350548" w:rsidRDefault="00350548" w:rsidP="00D67B18">
      <w:pPr>
        <w:spacing w:before="120" w:line="360" w:lineRule="auto"/>
        <w:jc w:val="both"/>
        <w:rPr>
          <w:rFonts w:ascii="Garamond" w:hAnsi="Garamond" w:cs="Arial"/>
          <w:b/>
          <w:szCs w:val="24"/>
        </w:rPr>
      </w:pPr>
      <w:r w:rsidRPr="00350548">
        <w:rPr>
          <w:rFonts w:ascii="Garamond" w:hAnsi="Garamond" w:cs="Arial"/>
          <w:b/>
          <w:szCs w:val="24"/>
        </w:rPr>
        <w:t>Matching</w:t>
      </w:r>
    </w:p>
    <w:p w:rsidR="00350548" w:rsidRPr="00D67B18" w:rsidRDefault="00350548" w:rsidP="00350548">
      <w:pPr>
        <w:spacing w:before="120" w:line="360" w:lineRule="auto"/>
        <w:jc w:val="both"/>
        <w:rPr>
          <w:rFonts w:ascii="Garamond" w:hAnsi="Garamond" w:cs="Arial"/>
          <w:szCs w:val="24"/>
        </w:rPr>
      </w:pPr>
      <w:r>
        <w:rPr>
          <w:rFonts w:ascii="Garamond" w:hAnsi="Garamond" w:cs="Arial"/>
          <w:szCs w:val="24"/>
        </w:rPr>
        <w:t xml:space="preserve">The limiting factor in terms of statistical precision would be the number of first-trimester exposed women. From preliminary analyses of age-specific MPH user prevalences and age specific birth rates, we had calculated the expected number of exposed women to be in the order of 400. As the expected number of outcomes </w:t>
      </w:r>
      <w:r w:rsidR="00DA73FD">
        <w:rPr>
          <w:rFonts w:ascii="Garamond" w:hAnsi="Garamond" w:cs="Arial"/>
          <w:szCs w:val="24"/>
        </w:rPr>
        <w:t xml:space="preserve">therefore </w:t>
      </w:r>
      <w:r>
        <w:rPr>
          <w:rFonts w:ascii="Garamond" w:hAnsi="Garamond" w:cs="Arial"/>
          <w:szCs w:val="24"/>
        </w:rPr>
        <w:t xml:space="preserve">would be low, we chose to analyze the data by use of propensity scores </w:t>
      </w:r>
      <w:r w:rsidR="006362E4">
        <w:rPr>
          <w:rFonts w:ascii="Garamond" w:hAnsi="Garamond" w:cs="Arial"/>
          <w:szCs w:val="24"/>
        </w:rPr>
        <w:t xml:space="preserve">(PS) </w:t>
      </w:r>
      <w:r w:rsidR="00F30688">
        <w:rPr>
          <w:rFonts w:ascii="Garamond" w:hAnsi="Garamond" w:cs="Arial"/>
          <w:szCs w:val="24"/>
        </w:rPr>
        <w:fldChar w:fldCharType="begin"/>
      </w:r>
      <w:r w:rsidR="00A817DF">
        <w:rPr>
          <w:rFonts w:ascii="Garamond" w:hAnsi="Garamond" w:cs="Arial"/>
          <w:szCs w:val="24"/>
        </w:rPr>
        <w:instrText xml:space="preserve"> ADDIN REFMGR.CITE &lt;Refman&gt;&lt;Cite&gt;&lt;Author&gt;Glynn&lt;/Author&gt;&lt;Year&gt;2006&lt;/Year&gt;&lt;RecNum&gt;283&lt;/RecNum&gt;&lt;IDText&gt;Indications for propensity scores and review of their use in pharmacoepidemiology&lt;/IDText&gt;&lt;MDL Ref_Type="Journal"&gt;&lt;Ref_Type&gt;Journal&lt;/Ref_Type&gt;&lt;Ref_ID&gt;283&lt;/Ref_ID&gt;&lt;Title_Primary&gt;Indications for propensity scores and review of their use in pharmacoepidemiology&lt;/Title_Primary&gt;&lt;Authors_Primary&gt;Glynn,R.J.&lt;/Authors_Primary&gt;&lt;Authors_Primary&gt;Schneeweiss,S.&lt;/Authors_Primary&gt;&lt;Authors_Primary&gt;Sturmer,T.&lt;/Authors_Primary&gt;&lt;Date_Primary&gt;2006/3&lt;/Date_Primary&gt;&lt;Keywords&gt;adverse effects&lt;/Keywords&gt;&lt;Keywords&gt;Bias (Epidemiology)&lt;/Keywords&gt;&lt;Keywords&gt;Clinical Trials as Topic&lt;/Keywords&gt;&lt;Keywords&gt;Confounding Factors (Epidemiology)&lt;/Keywords&gt;&lt;Keywords&gt;Data Interpretation,Statistical&lt;/Keywords&gt;&lt;Keywords&gt;Drug Therapy&lt;/Keywords&gt;&lt;Keywords&gt;Humans&lt;/Keywords&gt;&lt;Keywords&gt;methods&lt;/Keywords&gt;&lt;Keywords&gt;Models,Statistical&lt;/Keywords&gt;&lt;Keywords&gt;Outcome Assessment (Health Care)&lt;/Keywords&gt;&lt;Keywords&gt;Pharmacoepidemiology&lt;/Keywords&gt;&lt;Keywords&gt;Research&lt;/Keywords&gt;&lt;Keywords&gt;Research Design&lt;/Keywords&gt;&lt;Keywords&gt;Treatment Outcome&lt;/Keywords&gt;&lt;Reprint&gt;Not in File&lt;/Reprint&gt;&lt;Start_Page&gt;253&lt;/Start_Page&gt;&lt;End_Page&gt;259&lt;/End_Page&gt;&lt;Periodical&gt;Basic Clin.Pharmacol.Toxicol.&lt;/Periodical&gt;&lt;Volume&gt;98&lt;/Volume&gt;&lt;Issue&gt;3&lt;/Issue&gt;&lt;User_Def_5&gt;PMC1790968&lt;/User_Def_5&gt;&lt;Misc_3&gt;PTOpto_293 [pii];10.1111/j.1742-7843.2006.pto_293.x [doi]&lt;/Misc_3&gt;&lt;Address&gt;Division of Pharmacoepidemiology and Pharmacoeconomics, Brigham and Women&amp;apos;s Hospital, Harvard Medical School, Boston, MA, USA. rglynn@rics.bwh.harvard.ed&lt;/Address&gt;&lt;Web_URL&gt;PM:16611199&lt;/Web_URL&gt;&lt;ZZ_JournalFull&gt;&lt;f name="System"&gt;Basic Clin.Pharmacol.Toxicol.&lt;/f&gt;&lt;/ZZ_JournalFull&gt;&lt;ZZ_WorkformID&gt;1&lt;/ZZ_WorkformID&gt;&lt;/MDL&gt;&lt;/Cite&gt;&lt;/Refman&gt;</w:instrText>
      </w:r>
      <w:r w:rsidR="00F30688">
        <w:rPr>
          <w:rFonts w:ascii="Garamond" w:hAnsi="Garamond" w:cs="Arial"/>
          <w:szCs w:val="24"/>
        </w:rPr>
        <w:fldChar w:fldCharType="separate"/>
      </w:r>
      <w:r w:rsidR="00A817DF">
        <w:rPr>
          <w:rFonts w:ascii="Garamond" w:hAnsi="Garamond" w:cs="Arial"/>
          <w:noProof/>
          <w:szCs w:val="24"/>
        </w:rPr>
        <w:t>(9)</w:t>
      </w:r>
      <w:r w:rsidR="00F30688">
        <w:rPr>
          <w:rFonts w:ascii="Garamond" w:hAnsi="Garamond" w:cs="Arial"/>
          <w:szCs w:val="24"/>
        </w:rPr>
        <w:fldChar w:fldCharType="end"/>
      </w:r>
      <w:r w:rsidR="001F3815">
        <w:rPr>
          <w:rFonts w:ascii="Garamond" w:hAnsi="Garamond" w:cs="Arial"/>
          <w:szCs w:val="24"/>
        </w:rPr>
        <w:t>, which estimates the likelihood of being treated similarly to those entering the exposed cohort</w:t>
      </w:r>
      <w:r>
        <w:rPr>
          <w:rFonts w:ascii="Garamond" w:hAnsi="Garamond" w:cs="Arial"/>
          <w:szCs w:val="24"/>
        </w:rPr>
        <w:t>.</w:t>
      </w:r>
    </w:p>
    <w:p w:rsidR="00E8197B" w:rsidRDefault="00132630" w:rsidP="00D67B18">
      <w:pPr>
        <w:spacing w:before="120" w:line="360" w:lineRule="auto"/>
        <w:jc w:val="both"/>
        <w:rPr>
          <w:rFonts w:ascii="Garamond" w:hAnsi="Garamond" w:cs="Arial"/>
          <w:szCs w:val="24"/>
        </w:rPr>
      </w:pPr>
      <w:r>
        <w:rPr>
          <w:rFonts w:ascii="Garamond" w:hAnsi="Garamond" w:cs="Arial"/>
          <w:szCs w:val="24"/>
        </w:rPr>
        <w:t xml:space="preserve">For each pregnancy </w:t>
      </w:r>
      <w:r w:rsidR="006362E4">
        <w:rPr>
          <w:rFonts w:ascii="Garamond" w:hAnsi="Garamond" w:cs="Arial"/>
          <w:szCs w:val="24"/>
        </w:rPr>
        <w:t xml:space="preserve">in the exposed cohort, </w:t>
      </w:r>
      <w:r>
        <w:rPr>
          <w:rFonts w:ascii="Garamond" w:hAnsi="Garamond" w:cs="Arial"/>
          <w:szCs w:val="24"/>
        </w:rPr>
        <w:t>we matched 10 pregnancies</w:t>
      </w:r>
      <w:r w:rsidR="00350548">
        <w:rPr>
          <w:rFonts w:ascii="Garamond" w:hAnsi="Garamond" w:cs="Arial"/>
          <w:szCs w:val="24"/>
        </w:rPr>
        <w:t xml:space="preserve"> from the </w:t>
      </w:r>
      <w:r w:rsidR="006362E4">
        <w:rPr>
          <w:rFonts w:ascii="Garamond" w:hAnsi="Garamond" w:cs="Arial"/>
          <w:szCs w:val="24"/>
        </w:rPr>
        <w:t xml:space="preserve">unexposed </w:t>
      </w:r>
      <w:r w:rsidR="00350548">
        <w:rPr>
          <w:rFonts w:ascii="Garamond" w:hAnsi="Garamond" w:cs="Arial"/>
          <w:szCs w:val="24"/>
        </w:rPr>
        <w:t>cohort</w:t>
      </w:r>
      <w:r w:rsidR="001F3815">
        <w:rPr>
          <w:rFonts w:ascii="Garamond" w:hAnsi="Garamond" w:cs="Arial"/>
          <w:szCs w:val="24"/>
        </w:rPr>
        <w:t xml:space="preserve">. </w:t>
      </w:r>
      <w:r w:rsidR="001F3815" w:rsidRPr="001F3815">
        <w:rPr>
          <w:rFonts w:ascii="Garamond" w:hAnsi="Garamond" w:cs="Arial"/>
          <w:szCs w:val="24"/>
        </w:rPr>
        <w:t xml:space="preserve">We used sequential balanced nearest-neighbor matching </w:t>
      </w:r>
      <w:r w:rsidR="00F30688" w:rsidRPr="00893E33">
        <w:rPr>
          <w:rFonts w:ascii="Garamond" w:hAnsi="Garamond" w:cs="Arial"/>
          <w:szCs w:val="24"/>
        </w:rPr>
        <w:fldChar w:fldCharType="begin"/>
      </w:r>
      <w:r w:rsidR="00A817DF">
        <w:rPr>
          <w:rFonts w:ascii="Garamond" w:hAnsi="Garamond" w:cs="Arial"/>
          <w:szCs w:val="24"/>
        </w:rPr>
        <w:instrText xml:space="preserve"> ADDIN REFMGR.CITE &lt;Refman&gt;&lt;Cite&gt;&lt;Author&gt;Rassen&lt;/Author&gt;&lt;Year&gt;2012&lt;/Year&gt;&lt;RecNum&gt;1&lt;/RecNum&gt;&lt;IDText&gt;One-to-many propensity score matching in cohort studies&lt;/IDText&gt;&lt;MDL Ref_Type="Journal"&gt;&lt;Ref_Type&gt;Journal&lt;/Ref_Type&gt;&lt;Ref_ID&gt;1&lt;/Ref_ID&gt;&lt;Title_Primary&gt;One-to-many propensity score matching in cohort studies&lt;/Title_Primary&gt;&lt;Authors_Primary&gt;Rassen,J.A.&lt;/Authors_Primary&gt;&lt;Authors_Primary&gt;Shelat,A.A.&lt;/Authors_Primary&gt;&lt;Authors_Primary&gt;Myers,J.&lt;/Authors_Primary&gt;&lt;Authors_Primary&gt;Glynn,R.J.&lt;/Authors_Primary&gt;&lt;Authors_Primary&gt;Rothman,K.J.&lt;/Authors_Primary&gt;&lt;Authors_Primary&gt;Schneeweiss,S.&lt;/Authors_Primary&gt;&lt;Date_Primary&gt;2012/5&lt;/Date_Primary&gt;&lt;Keywords&gt;adverse effects&lt;/Keywords&gt;&lt;Keywords&gt;Bias (Epidemiology)&lt;/Keywords&gt;&lt;Keywords&gt;chemically induced&lt;/Keywords&gt;&lt;Keywords&gt;Cohort Studies&lt;/Keywords&gt;&lt;Keywords&gt;Computer Simulation&lt;/Keywords&gt;&lt;Keywords&gt;Confounding Factors (Epidemiology)&lt;/Keywords&gt;&lt;Keywords&gt;Cyclooxygenase 2 Inhibitors&lt;/Keywords&gt;&lt;Keywords&gt;epidemiology&lt;/Keywords&gt;&lt;Keywords&gt;Gastrointestinal Hemorrhage&lt;/Keywords&gt;&lt;Keywords&gt;Humans&lt;/Keywords&gt;&lt;Keywords&gt;Matched-Pair Analysis&lt;/Keywords&gt;&lt;Keywords&gt;methods&lt;/Keywords&gt;&lt;Keywords&gt;Patient Selection&lt;/Keywords&gt;&lt;Keywords&gt;Pharmacoepidemiology&lt;/Keywords&gt;&lt;Keywords&gt;statistics &amp;amp; numerical data&lt;/Keywords&gt;&lt;Reprint&gt;Not in File&lt;/Reprint&gt;&lt;Start_Page&gt;69&lt;/Start_Page&gt;&lt;End_Page&gt;80&lt;/End_Page&gt;&lt;Periodical&gt;Pharmacoepidemiol Drug Saf&lt;/Periodical&gt;&lt;Volume&gt;21 Suppl 2&lt;/Volume&gt;&lt;Misc_3&gt;10.1002/pds.3263 [doi]&lt;/Misc_3&gt;&lt;Address&gt;Division of Pharmacoepidemiology and Pharmacoeconomics; Department of Medicine, Brigham and Women&amp;apos;s Hospital and Harvard Medical School, Boston, MA, USA. jrassen@post.harvard.edu&lt;/Address&gt;&lt;Web_URL&gt;PM:22552982&lt;/Web_URL&gt;&lt;ZZ_JournalFull&gt;&lt;f name="System"&gt;Pharmacoepidemiol Drug Saf&lt;/f&gt;&lt;/ZZ_JournalFull&gt;&lt;ZZ_WorkformID&gt;1&lt;/ZZ_WorkformID&gt;&lt;/MDL&gt;&lt;/Cite&gt;&lt;/Refman&gt;</w:instrText>
      </w:r>
      <w:r w:rsidR="00F30688" w:rsidRPr="00893E33">
        <w:rPr>
          <w:rFonts w:ascii="Garamond" w:hAnsi="Garamond" w:cs="Arial"/>
          <w:szCs w:val="24"/>
        </w:rPr>
        <w:fldChar w:fldCharType="separate"/>
      </w:r>
      <w:r w:rsidR="00A817DF">
        <w:rPr>
          <w:rFonts w:ascii="Garamond" w:hAnsi="Garamond" w:cs="Arial"/>
          <w:noProof/>
          <w:szCs w:val="24"/>
        </w:rPr>
        <w:t>(10)</w:t>
      </w:r>
      <w:r w:rsidR="00F30688" w:rsidRPr="00893E33">
        <w:rPr>
          <w:rFonts w:ascii="Garamond" w:hAnsi="Garamond" w:cs="Arial"/>
          <w:szCs w:val="24"/>
        </w:rPr>
        <w:fldChar w:fldCharType="end"/>
      </w:r>
      <w:r w:rsidR="001F3815" w:rsidRPr="001F3815">
        <w:rPr>
          <w:rFonts w:ascii="Garamond" w:hAnsi="Garamond" w:cs="Arial"/>
          <w:szCs w:val="24"/>
        </w:rPr>
        <w:t xml:space="preserve"> to match </w:t>
      </w:r>
      <w:r w:rsidR="006362E4">
        <w:rPr>
          <w:rFonts w:ascii="Garamond" w:hAnsi="Garamond" w:cs="Arial"/>
          <w:szCs w:val="24"/>
        </w:rPr>
        <w:t>exposed</w:t>
      </w:r>
      <w:r w:rsidR="001F3815" w:rsidRPr="001F3815">
        <w:rPr>
          <w:rFonts w:ascii="Garamond" w:hAnsi="Garamond" w:cs="Arial"/>
          <w:szCs w:val="24"/>
        </w:rPr>
        <w:t xml:space="preserve"> and </w:t>
      </w:r>
      <w:r w:rsidR="006362E4">
        <w:rPr>
          <w:rFonts w:ascii="Garamond" w:hAnsi="Garamond" w:cs="Arial"/>
          <w:szCs w:val="24"/>
        </w:rPr>
        <w:t>unexposed</w:t>
      </w:r>
      <w:r w:rsidR="001F3815" w:rsidRPr="001F3815">
        <w:rPr>
          <w:rFonts w:ascii="Garamond" w:hAnsi="Garamond" w:cs="Arial"/>
          <w:szCs w:val="24"/>
        </w:rPr>
        <w:t xml:space="preserve"> on propensity score</w:t>
      </w:r>
      <w:r w:rsidR="00952F73">
        <w:rPr>
          <w:rFonts w:ascii="Garamond" w:hAnsi="Garamond" w:cs="Arial"/>
          <w:szCs w:val="24"/>
        </w:rPr>
        <w:t xml:space="preserve"> (max caliper 0.01)</w:t>
      </w:r>
      <w:r w:rsidR="001F3815" w:rsidRPr="001F3815">
        <w:rPr>
          <w:rFonts w:ascii="Garamond" w:hAnsi="Garamond" w:cs="Arial"/>
          <w:szCs w:val="24"/>
        </w:rPr>
        <w:t xml:space="preserve">. In brief, </w:t>
      </w:r>
      <w:r w:rsidR="005601AD">
        <w:rPr>
          <w:rFonts w:ascii="Garamond" w:hAnsi="Garamond" w:cs="Arial"/>
          <w:szCs w:val="24"/>
        </w:rPr>
        <w:t xml:space="preserve">this ensures </w:t>
      </w:r>
      <w:r w:rsidR="001F3815" w:rsidRPr="001F3815">
        <w:rPr>
          <w:rFonts w:ascii="Garamond" w:hAnsi="Garamond" w:cs="Arial"/>
          <w:szCs w:val="24"/>
        </w:rPr>
        <w:t xml:space="preserve">that for each </w:t>
      </w:r>
      <w:r w:rsidR="006362E4">
        <w:rPr>
          <w:rFonts w:ascii="Garamond" w:hAnsi="Garamond" w:cs="Arial"/>
          <w:szCs w:val="24"/>
        </w:rPr>
        <w:t xml:space="preserve">exposed </w:t>
      </w:r>
      <w:r w:rsidR="001F3815" w:rsidRPr="001F3815">
        <w:rPr>
          <w:rFonts w:ascii="Garamond" w:hAnsi="Garamond" w:cs="Arial"/>
          <w:szCs w:val="24"/>
        </w:rPr>
        <w:t xml:space="preserve">subject, half of the matched </w:t>
      </w:r>
      <w:r w:rsidR="006362E4">
        <w:rPr>
          <w:rFonts w:ascii="Garamond" w:hAnsi="Garamond" w:cs="Arial"/>
          <w:szCs w:val="24"/>
        </w:rPr>
        <w:t xml:space="preserve">unexposed </w:t>
      </w:r>
      <w:r w:rsidR="001F3815" w:rsidRPr="001F3815">
        <w:rPr>
          <w:rFonts w:ascii="Garamond" w:hAnsi="Garamond" w:cs="Arial"/>
          <w:szCs w:val="24"/>
        </w:rPr>
        <w:t xml:space="preserve">have PS above the index subject and half will have </w:t>
      </w:r>
      <w:r w:rsidR="006362E4">
        <w:rPr>
          <w:rFonts w:ascii="Garamond" w:hAnsi="Garamond" w:cs="Arial"/>
          <w:szCs w:val="24"/>
        </w:rPr>
        <w:t xml:space="preserve">a </w:t>
      </w:r>
      <w:r w:rsidR="001F3815" w:rsidRPr="001F3815">
        <w:rPr>
          <w:rFonts w:ascii="Garamond" w:hAnsi="Garamond" w:cs="Arial"/>
          <w:szCs w:val="24"/>
        </w:rPr>
        <w:t xml:space="preserve">PS below. </w:t>
      </w:r>
    </w:p>
    <w:p w:rsidR="00D63556" w:rsidRDefault="00D520C2" w:rsidP="00D67B18">
      <w:pPr>
        <w:spacing w:before="120" w:line="360" w:lineRule="auto"/>
        <w:jc w:val="both"/>
        <w:rPr>
          <w:rFonts w:ascii="Garamond" w:hAnsi="Garamond" w:cs="Arial"/>
          <w:szCs w:val="24"/>
        </w:rPr>
      </w:pPr>
      <w:r>
        <w:rPr>
          <w:rFonts w:ascii="Garamond" w:hAnsi="Garamond" w:cs="Arial"/>
          <w:szCs w:val="24"/>
        </w:rPr>
        <w:t xml:space="preserve">The following variables were included </w:t>
      </w:r>
      <w:r w:rsidR="00132630">
        <w:rPr>
          <w:rFonts w:ascii="Garamond" w:hAnsi="Garamond" w:cs="Arial"/>
          <w:szCs w:val="24"/>
        </w:rPr>
        <w:t>in the calculation of</w:t>
      </w:r>
      <w:r>
        <w:rPr>
          <w:rFonts w:ascii="Garamond" w:hAnsi="Garamond" w:cs="Arial"/>
          <w:szCs w:val="24"/>
        </w:rPr>
        <w:t xml:space="preserve"> the propensity score: Maternal age, </w:t>
      </w:r>
      <w:r w:rsidR="00F34386">
        <w:rPr>
          <w:rFonts w:ascii="Garamond" w:hAnsi="Garamond" w:cs="Arial"/>
          <w:szCs w:val="24"/>
        </w:rPr>
        <w:t>maternal smoking status during first trimester, maternal body mass index (BMI)</w:t>
      </w:r>
      <w:r w:rsidR="00D96BAD">
        <w:rPr>
          <w:rFonts w:ascii="Garamond" w:hAnsi="Garamond" w:cs="Arial"/>
          <w:szCs w:val="24"/>
        </w:rPr>
        <w:t xml:space="preserve"> (≈5% missing values handled by imputation of mean value)</w:t>
      </w:r>
      <w:r w:rsidR="00F34386">
        <w:rPr>
          <w:rFonts w:ascii="Garamond" w:hAnsi="Garamond" w:cs="Arial"/>
          <w:szCs w:val="24"/>
        </w:rPr>
        <w:t xml:space="preserve">, </w:t>
      </w:r>
      <w:r>
        <w:rPr>
          <w:rFonts w:ascii="Garamond" w:hAnsi="Garamond" w:cs="Arial"/>
          <w:szCs w:val="24"/>
        </w:rPr>
        <w:t>calendar year</w:t>
      </w:r>
      <w:r w:rsidR="00F34386">
        <w:rPr>
          <w:rFonts w:ascii="Garamond" w:hAnsi="Garamond" w:cs="Arial"/>
          <w:szCs w:val="24"/>
        </w:rPr>
        <w:t xml:space="preserve"> of termination of pregnancy</w:t>
      </w:r>
      <w:r w:rsidR="00132630">
        <w:rPr>
          <w:rFonts w:ascii="Garamond" w:hAnsi="Garamond" w:cs="Arial"/>
          <w:szCs w:val="24"/>
        </w:rPr>
        <w:t xml:space="preserve">, </w:t>
      </w:r>
      <w:r w:rsidR="003D6319">
        <w:rPr>
          <w:rFonts w:ascii="Garamond" w:hAnsi="Garamond" w:cs="Arial"/>
          <w:szCs w:val="24"/>
        </w:rPr>
        <w:t>length of education</w:t>
      </w:r>
      <w:r w:rsidR="006362E4">
        <w:rPr>
          <w:rFonts w:ascii="Garamond" w:hAnsi="Garamond" w:cs="Arial"/>
          <w:szCs w:val="24"/>
        </w:rPr>
        <w:t xml:space="preserve"> (group</w:t>
      </w:r>
      <w:r w:rsidR="00790270">
        <w:rPr>
          <w:rFonts w:ascii="Garamond" w:hAnsi="Garamond" w:cs="Arial"/>
          <w:szCs w:val="24"/>
        </w:rPr>
        <w:t xml:space="preserve">ed into 7-10 years, 11-12 years, </w:t>
      </w:r>
      <w:r w:rsidR="006362E4">
        <w:rPr>
          <w:rFonts w:ascii="Garamond" w:hAnsi="Garamond" w:cs="Arial"/>
          <w:szCs w:val="24"/>
        </w:rPr>
        <w:t>≥13 years</w:t>
      </w:r>
      <w:r w:rsidR="00790270">
        <w:rPr>
          <w:rFonts w:ascii="Garamond" w:hAnsi="Garamond" w:cs="Arial"/>
          <w:szCs w:val="24"/>
        </w:rPr>
        <w:t xml:space="preserve"> and unknown</w:t>
      </w:r>
      <w:r w:rsidR="006362E4">
        <w:rPr>
          <w:rFonts w:ascii="Garamond" w:hAnsi="Garamond" w:cs="Arial"/>
          <w:szCs w:val="24"/>
        </w:rPr>
        <w:t>)</w:t>
      </w:r>
      <w:r w:rsidR="003D6319">
        <w:rPr>
          <w:rFonts w:ascii="Garamond" w:hAnsi="Garamond" w:cs="Arial"/>
          <w:szCs w:val="24"/>
        </w:rPr>
        <w:t xml:space="preserve"> and </w:t>
      </w:r>
      <w:r w:rsidR="00132630">
        <w:rPr>
          <w:rFonts w:ascii="Garamond" w:hAnsi="Garamond" w:cs="Arial"/>
          <w:szCs w:val="24"/>
        </w:rPr>
        <w:t xml:space="preserve">concomitant use of </w:t>
      </w:r>
      <w:r w:rsidR="00D63556">
        <w:rPr>
          <w:rFonts w:ascii="Garamond" w:hAnsi="Garamond" w:cs="Arial"/>
          <w:szCs w:val="24"/>
        </w:rPr>
        <w:t xml:space="preserve">each of the </w:t>
      </w:r>
      <w:r w:rsidR="003D6319">
        <w:rPr>
          <w:rFonts w:ascii="Garamond" w:hAnsi="Garamond" w:cs="Arial"/>
          <w:szCs w:val="24"/>
        </w:rPr>
        <w:t xml:space="preserve">following </w:t>
      </w:r>
      <w:r w:rsidR="00D63556">
        <w:rPr>
          <w:rFonts w:ascii="Garamond" w:hAnsi="Garamond" w:cs="Arial"/>
          <w:szCs w:val="24"/>
        </w:rPr>
        <w:t>drugs</w:t>
      </w:r>
      <w:r w:rsidR="003D6319">
        <w:rPr>
          <w:rFonts w:ascii="Garamond" w:hAnsi="Garamond" w:cs="Arial"/>
          <w:szCs w:val="24"/>
        </w:rPr>
        <w:t>:</w:t>
      </w:r>
      <w:r w:rsidR="003D6319" w:rsidRPr="003D6319">
        <w:rPr>
          <w:rFonts w:ascii="Garamond" w:hAnsi="Garamond" w:cs="Arial"/>
          <w:szCs w:val="24"/>
        </w:rPr>
        <w:t xml:space="preserve"> </w:t>
      </w:r>
      <w:r w:rsidR="003D6319" w:rsidRPr="00D67B18">
        <w:rPr>
          <w:rFonts w:ascii="Garamond" w:hAnsi="Garamond" w:cs="Arial"/>
          <w:szCs w:val="24"/>
        </w:rPr>
        <w:t>Antipsychotics (</w:t>
      </w:r>
      <w:r w:rsidR="003D6319">
        <w:rPr>
          <w:rFonts w:ascii="Garamond" w:hAnsi="Garamond" w:cs="Arial"/>
          <w:szCs w:val="24"/>
        </w:rPr>
        <w:t>N</w:t>
      </w:r>
      <w:r w:rsidR="003D6319" w:rsidRPr="00D67B18">
        <w:rPr>
          <w:rFonts w:ascii="Garamond" w:hAnsi="Garamond" w:cs="Arial"/>
          <w:szCs w:val="24"/>
        </w:rPr>
        <w:t xml:space="preserve">05A), antidepressants (N06A), antiepileptics (N03A), anxiolytics (N05B), </w:t>
      </w:r>
      <w:r w:rsidR="00453256">
        <w:rPr>
          <w:rFonts w:ascii="Garamond" w:hAnsi="Garamond" w:cs="Arial"/>
          <w:szCs w:val="24"/>
        </w:rPr>
        <w:t xml:space="preserve">and </w:t>
      </w:r>
      <w:r w:rsidR="003D6319" w:rsidRPr="00D67B18">
        <w:rPr>
          <w:rFonts w:ascii="Garamond" w:hAnsi="Garamond" w:cs="Arial"/>
          <w:szCs w:val="24"/>
        </w:rPr>
        <w:t>NSAIDs (M01A excluding M01AX)</w:t>
      </w:r>
      <w:r w:rsidR="00790270">
        <w:rPr>
          <w:rFonts w:ascii="Garamond" w:hAnsi="Garamond" w:cs="Arial"/>
          <w:szCs w:val="24"/>
        </w:rPr>
        <w:t>.</w:t>
      </w:r>
      <w:r w:rsidR="003D6319" w:rsidRPr="00D67B18">
        <w:rPr>
          <w:rFonts w:ascii="Garamond" w:hAnsi="Garamond" w:cs="Arial"/>
          <w:szCs w:val="24"/>
        </w:rPr>
        <w:t xml:space="preserve"> </w:t>
      </w:r>
      <w:r w:rsidR="003D6319">
        <w:rPr>
          <w:rFonts w:ascii="Garamond" w:hAnsi="Garamond" w:cs="Arial"/>
          <w:szCs w:val="24"/>
        </w:rPr>
        <w:t xml:space="preserve">Concomitant use </w:t>
      </w:r>
      <w:r w:rsidR="00823CD2">
        <w:rPr>
          <w:rFonts w:ascii="Garamond" w:hAnsi="Garamond" w:cs="Arial"/>
          <w:szCs w:val="24"/>
        </w:rPr>
        <w:t xml:space="preserve">of </w:t>
      </w:r>
      <w:r w:rsidR="009A1934">
        <w:rPr>
          <w:rFonts w:ascii="Garamond" w:hAnsi="Garamond" w:cs="Arial"/>
          <w:szCs w:val="24"/>
        </w:rPr>
        <w:t>these drugs</w:t>
      </w:r>
      <w:r w:rsidR="00823CD2">
        <w:rPr>
          <w:rFonts w:ascii="Garamond" w:hAnsi="Garamond" w:cs="Arial"/>
          <w:szCs w:val="24"/>
        </w:rPr>
        <w:t xml:space="preserve"> </w:t>
      </w:r>
      <w:r w:rsidR="003D6319">
        <w:rPr>
          <w:rFonts w:ascii="Garamond" w:hAnsi="Garamond" w:cs="Arial"/>
          <w:szCs w:val="24"/>
        </w:rPr>
        <w:t xml:space="preserve">was defined </w:t>
      </w:r>
      <w:r w:rsidR="00823CD2">
        <w:rPr>
          <w:rFonts w:ascii="Garamond" w:hAnsi="Garamond" w:cs="Arial"/>
          <w:szCs w:val="24"/>
        </w:rPr>
        <w:t xml:space="preserve">as </w:t>
      </w:r>
      <w:r w:rsidR="003D6319" w:rsidRPr="00D67B18">
        <w:rPr>
          <w:rFonts w:ascii="Garamond" w:hAnsi="Garamond" w:cs="Arial"/>
          <w:szCs w:val="24"/>
        </w:rPr>
        <w:t>one or more prescript</w:t>
      </w:r>
      <w:r w:rsidR="003D6319">
        <w:rPr>
          <w:rFonts w:ascii="Garamond" w:hAnsi="Garamond" w:cs="Arial"/>
          <w:szCs w:val="24"/>
        </w:rPr>
        <w:t>ions for the given drug within 4</w:t>
      </w:r>
      <w:r w:rsidR="003D6319" w:rsidRPr="00D67B18">
        <w:rPr>
          <w:rFonts w:ascii="Garamond" w:hAnsi="Garamond" w:cs="Arial"/>
          <w:szCs w:val="24"/>
        </w:rPr>
        <w:t>0 days before the beginning of the first trimester up to</w:t>
      </w:r>
      <w:r w:rsidR="003D6319">
        <w:rPr>
          <w:rFonts w:ascii="Garamond" w:hAnsi="Garamond" w:cs="Arial"/>
          <w:szCs w:val="24"/>
        </w:rPr>
        <w:t xml:space="preserve"> the end of the first trimester.</w:t>
      </w:r>
    </w:p>
    <w:p w:rsidR="009C1925" w:rsidRPr="00297C1F" w:rsidRDefault="009C1925" w:rsidP="00D67B18">
      <w:pPr>
        <w:spacing w:before="120" w:line="360" w:lineRule="auto"/>
        <w:jc w:val="both"/>
        <w:rPr>
          <w:rFonts w:ascii="Garamond" w:hAnsi="Garamond" w:cs="Arial"/>
          <w:szCs w:val="24"/>
        </w:rPr>
      </w:pPr>
    </w:p>
    <w:p w:rsidR="00AD64E3" w:rsidRPr="00D67B18" w:rsidRDefault="009F1A76" w:rsidP="00453256">
      <w:pPr>
        <w:spacing w:before="120" w:line="360" w:lineRule="auto"/>
        <w:jc w:val="both"/>
        <w:rPr>
          <w:rFonts w:ascii="Garamond" w:hAnsi="Garamond" w:cs="Arial"/>
          <w:b/>
          <w:szCs w:val="24"/>
        </w:rPr>
      </w:pPr>
      <w:r>
        <w:rPr>
          <w:rFonts w:ascii="Garamond" w:hAnsi="Garamond" w:cs="Arial"/>
          <w:b/>
          <w:szCs w:val="24"/>
        </w:rPr>
        <w:lastRenderedPageBreak/>
        <w:t>Endpoints</w:t>
      </w:r>
    </w:p>
    <w:p w:rsidR="007F3A19" w:rsidRDefault="009F1A76" w:rsidP="00453256">
      <w:pPr>
        <w:spacing w:before="120" w:line="360" w:lineRule="auto"/>
        <w:jc w:val="both"/>
        <w:rPr>
          <w:rFonts w:ascii="Garamond" w:hAnsi="Garamond" w:cs="Arial"/>
          <w:szCs w:val="24"/>
        </w:rPr>
      </w:pPr>
      <w:r>
        <w:rPr>
          <w:rFonts w:ascii="Garamond" w:hAnsi="Garamond" w:cs="Arial"/>
          <w:szCs w:val="24"/>
        </w:rPr>
        <w:t xml:space="preserve">The </w:t>
      </w:r>
      <w:r w:rsidR="00F326C9">
        <w:rPr>
          <w:rFonts w:ascii="Garamond" w:hAnsi="Garamond" w:cs="Arial"/>
          <w:szCs w:val="24"/>
        </w:rPr>
        <w:t xml:space="preserve">two </w:t>
      </w:r>
      <w:r>
        <w:rPr>
          <w:rFonts w:ascii="Garamond" w:hAnsi="Garamond" w:cs="Arial"/>
          <w:szCs w:val="24"/>
        </w:rPr>
        <w:t>study endpoints were</w:t>
      </w:r>
      <w:r w:rsidR="00AD64E3" w:rsidRPr="00D67B18">
        <w:rPr>
          <w:rFonts w:ascii="Garamond" w:hAnsi="Garamond" w:cs="Arial"/>
          <w:szCs w:val="24"/>
        </w:rPr>
        <w:t xml:space="preserve"> </w:t>
      </w:r>
      <w:r w:rsidR="00F24D06">
        <w:rPr>
          <w:rFonts w:ascii="Garamond" w:hAnsi="Garamond" w:cs="Arial"/>
          <w:szCs w:val="24"/>
        </w:rPr>
        <w:t>major malformations</w:t>
      </w:r>
      <w:r w:rsidR="00F326C9">
        <w:rPr>
          <w:rFonts w:ascii="Garamond" w:hAnsi="Garamond" w:cs="Arial"/>
          <w:szCs w:val="24"/>
        </w:rPr>
        <w:t xml:space="preserve"> and</w:t>
      </w:r>
      <w:r w:rsidR="00F24D06">
        <w:rPr>
          <w:rFonts w:ascii="Garamond" w:hAnsi="Garamond" w:cs="Arial"/>
          <w:szCs w:val="24"/>
        </w:rPr>
        <w:t xml:space="preserve"> </w:t>
      </w:r>
      <w:r w:rsidR="007F3A19">
        <w:rPr>
          <w:rFonts w:ascii="Garamond" w:hAnsi="Garamond" w:cs="Arial"/>
          <w:szCs w:val="24"/>
        </w:rPr>
        <w:t xml:space="preserve">major </w:t>
      </w:r>
      <w:r w:rsidR="00F24D06">
        <w:rPr>
          <w:rFonts w:ascii="Garamond" w:hAnsi="Garamond" w:cs="Arial"/>
          <w:szCs w:val="24"/>
        </w:rPr>
        <w:t xml:space="preserve">cardiac malformations </w:t>
      </w:r>
      <w:r w:rsidR="00F326C9">
        <w:rPr>
          <w:rFonts w:ascii="Garamond" w:hAnsi="Garamond" w:cs="Arial"/>
          <w:szCs w:val="24"/>
        </w:rPr>
        <w:t>respectively</w:t>
      </w:r>
      <w:r w:rsidR="00F24D06">
        <w:rPr>
          <w:rFonts w:ascii="Garamond" w:hAnsi="Garamond" w:cs="Arial"/>
          <w:szCs w:val="24"/>
        </w:rPr>
        <w:t>.</w:t>
      </w:r>
      <w:r w:rsidR="00FF78D7">
        <w:rPr>
          <w:rFonts w:ascii="Garamond" w:hAnsi="Garamond" w:cs="Arial"/>
          <w:szCs w:val="24"/>
        </w:rPr>
        <w:t xml:space="preserve"> </w:t>
      </w:r>
      <w:r w:rsidR="007F3A19">
        <w:rPr>
          <w:rFonts w:ascii="Garamond" w:hAnsi="Garamond" w:cs="Arial"/>
          <w:szCs w:val="24"/>
        </w:rPr>
        <w:t>Classification of m</w:t>
      </w:r>
      <w:r w:rsidR="007F3A19" w:rsidRPr="00293747">
        <w:rPr>
          <w:rFonts w:ascii="Garamond" w:hAnsi="Garamond" w:cs="Arial"/>
          <w:szCs w:val="24"/>
        </w:rPr>
        <w:t xml:space="preserve">alformations </w:t>
      </w:r>
      <w:r w:rsidR="007F3A19">
        <w:rPr>
          <w:rFonts w:ascii="Garamond" w:hAnsi="Garamond" w:cs="Arial"/>
          <w:szCs w:val="24"/>
        </w:rPr>
        <w:t>happened</w:t>
      </w:r>
      <w:r w:rsidR="007F3A19" w:rsidRPr="00293747">
        <w:rPr>
          <w:rFonts w:ascii="Garamond" w:hAnsi="Garamond" w:cs="Arial"/>
          <w:szCs w:val="24"/>
        </w:rPr>
        <w:t xml:space="preserve"> according to the European Surveillance of Congenital Anomalies (EUROCAT) c</w:t>
      </w:r>
      <w:r w:rsidR="007F3A19">
        <w:rPr>
          <w:rFonts w:ascii="Garamond" w:hAnsi="Garamond" w:cs="Arial"/>
          <w:szCs w:val="24"/>
        </w:rPr>
        <w:t xml:space="preserve">lassification system guide 1.3 </w:t>
      </w:r>
      <w:r w:rsidR="00F30688">
        <w:rPr>
          <w:rFonts w:ascii="Garamond" w:hAnsi="Garamond" w:cs="Arial"/>
          <w:szCs w:val="24"/>
        </w:rPr>
        <w:fldChar w:fldCharType="begin"/>
      </w:r>
      <w:r w:rsidR="00A817DF">
        <w:rPr>
          <w:rFonts w:ascii="Garamond" w:hAnsi="Garamond" w:cs="Arial"/>
          <w:szCs w:val="24"/>
        </w:rPr>
        <w:instrText xml:space="preserve"> ADDIN REFMGR.CITE &lt;Refman&gt;&lt;Cite&gt;&lt;Year&gt;2005&lt;/Year&gt;&lt;RecNum&gt;287&lt;/RecNum&gt;&lt;IDText&gt;European Surveillance of Congenital Anomalies: EUROCAT Guide 1.3 and reference documents.&lt;/IDText&gt;&lt;MDL Ref_Type="Book, Whole"&gt;&lt;Ref_Type&gt;Book, Whole&lt;/Ref_Type&gt;&lt;Ref_ID&gt;287&lt;/Ref_ID&gt;&lt;Title_Primary&gt;European Surveillance of Congenital Anomalies: EUROCAT Guide 1.3 and reference documents.&lt;/Title_Primary&gt;&lt;Date_Primary&gt;2005&lt;/Date_Primary&gt;&lt;Reprint&gt;Not in File&lt;/Reprint&gt;&lt;Publisher&gt;Newtownabbey Co Antrim: University of Ulster&lt;/Publisher&gt;&lt;ZZ_WorkformID&gt;2&lt;/ZZ_WorkformID&gt;&lt;/MDL&gt;&lt;/Cite&gt;&lt;/Refman&gt;</w:instrText>
      </w:r>
      <w:r w:rsidR="00F30688">
        <w:rPr>
          <w:rFonts w:ascii="Garamond" w:hAnsi="Garamond" w:cs="Arial"/>
          <w:szCs w:val="24"/>
        </w:rPr>
        <w:fldChar w:fldCharType="separate"/>
      </w:r>
      <w:r w:rsidR="00A817DF">
        <w:rPr>
          <w:rFonts w:ascii="Garamond" w:hAnsi="Garamond" w:cs="Arial"/>
          <w:noProof/>
          <w:szCs w:val="24"/>
        </w:rPr>
        <w:t>(11)</w:t>
      </w:r>
      <w:r w:rsidR="00F30688">
        <w:rPr>
          <w:rFonts w:ascii="Garamond" w:hAnsi="Garamond" w:cs="Arial"/>
          <w:szCs w:val="24"/>
        </w:rPr>
        <w:fldChar w:fldCharType="end"/>
      </w:r>
      <w:r w:rsidR="007F3A19" w:rsidRPr="00D67B18">
        <w:rPr>
          <w:rFonts w:ascii="Garamond" w:hAnsi="Garamond" w:cs="Arial"/>
          <w:szCs w:val="24"/>
        </w:rPr>
        <w:t xml:space="preserve">. </w:t>
      </w:r>
    </w:p>
    <w:p w:rsidR="00264674" w:rsidRDefault="00880F90" w:rsidP="00D67B18">
      <w:pPr>
        <w:spacing w:before="120" w:line="360" w:lineRule="auto"/>
        <w:jc w:val="both"/>
        <w:rPr>
          <w:rFonts w:ascii="Garamond" w:hAnsi="Garamond" w:cs="Arial"/>
          <w:b/>
          <w:szCs w:val="24"/>
        </w:rPr>
      </w:pPr>
      <w:r>
        <w:rPr>
          <w:rFonts w:ascii="Garamond" w:hAnsi="Garamond" w:cs="Arial"/>
          <w:szCs w:val="24"/>
        </w:rPr>
        <w:t>Furthermore, we calculated the</w:t>
      </w:r>
      <w:r w:rsidRPr="00880F90">
        <w:rPr>
          <w:rFonts w:ascii="Garamond" w:hAnsi="Garamond" w:cs="Arial"/>
          <w:szCs w:val="24"/>
        </w:rPr>
        <w:t xml:space="preserve"> </w:t>
      </w:r>
      <w:r>
        <w:rPr>
          <w:rFonts w:ascii="Garamond" w:hAnsi="Garamond" w:cs="Arial"/>
          <w:szCs w:val="24"/>
        </w:rPr>
        <w:t xml:space="preserve">mean </w:t>
      </w:r>
      <w:r w:rsidRPr="00D67B18">
        <w:rPr>
          <w:rFonts w:ascii="Garamond" w:hAnsi="Garamond" w:cs="Arial"/>
          <w:szCs w:val="24"/>
        </w:rPr>
        <w:t>gestational age</w:t>
      </w:r>
      <w:r>
        <w:rPr>
          <w:rFonts w:ascii="Garamond" w:hAnsi="Garamond" w:cs="Arial"/>
          <w:szCs w:val="24"/>
        </w:rPr>
        <w:t xml:space="preserve"> and birth weight </w:t>
      </w:r>
      <w:r w:rsidRPr="00D67B18">
        <w:rPr>
          <w:rFonts w:ascii="Garamond" w:hAnsi="Garamond" w:cs="Arial"/>
          <w:szCs w:val="24"/>
        </w:rPr>
        <w:t>of live births</w:t>
      </w:r>
      <w:r>
        <w:rPr>
          <w:rFonts w:ascii="Garamond" w:hAnsi="Garamond" w:cs="Arial"/>
          <w:szCs w:val="24"/>
        </w:rPr>
        <w:t xml:space="preserve">. </w:t>
      </w:r>
    </w:p>
    <w:p w:rsidR="00264674" w:rsidRDefault="00264674" w:rsidP="00D67B18">
      <w:pPr>
        <w:spacing w:before="120" w:line="360" w:lineRule="auto"/>
        <w:jc w:val="both"/>
        <w:rPr>
          <w:rFonts w:ascii="Garamond" w:hAnsi="Garamond" w:cs="Arial"/>
          <w:b/>
          <w:szCs w:val="24"/>
        </w:rPr>
      </w:pPr>
    </w:p>
    <w:p w:rsidR="00AD64E3" w:rsidRPr="00D67B18" w:rsidRDefault="00AD64E3" w:rsidP="00D67B18">
      <w:pPr>
        <w:spacing w:before="120" w:line="360" w:lineRule="auto"/>
        <w:jc w:val="both"/>
        <w:rPr>
          <w:rFonts w:ascii="Garamond" w:hAnsi="Garamond" w:cs="Arial"/>
          <w:b/>
          <w:szCs w:val="24"/>
        </w:rPr>
      </w:pPr>
      <w:r w:rsidRPr="00D67B18">
        <w:rPr>
          <w:rFonts w:ascii="Garamond" w:hAnsi="Garamond" w:cs="Arial"/>
          <w:b/>
          <w:szCs w:val="24"/>
        </w:rPr>
        <w:t>Analysis</w:t>
      </w:r>
    </w:p>
    <w:p w:rsidR="00591221" w:rsidRDefault="009F1A76" w:rsidP="00591221">
      <w:pPr>
        <w:spacing w:before="120" w:line="360" w:lineRule="auto"/>
        <w:jc w:val="both"/>
        <w:rPr>
          <w:rFonts w:ascii="Garamond" w:hAnsi="Garamond" w:cs="Arial"/>
          <w:szCs w:val="24"/>
        </w:rPr>
      </w:pPr>
      <w:r>
        <w:rPr>
          <w:rFonts w:ascii="Garamond" w:hAnsi="Garamond" w:cs="Arial"/>
          <w:szCs w:val="24"/>
        </w:rPr>
        <w:t>Our main outcome measure was the prevalence proportion ratio (P</w:t>
      </w:r>
      <w:r w:rsidR="005D07AE">
        <w:rPr>
          <w:rFonts w:ascii="Garamond" w:hAnsi="Garamond" w:cs="Arial"/>
          <w:szCs w:val="24"/>
        </w:rPr>
        <w:t>P</w:t>
      </w:r>
      <w:r>
        <w:rPr>
          <w:rFonts w:ascii="Garamond" w:hAnsi="Garamond" w:cs="Arial"/>
          <w:szCs w:val="24"/>
        </w:rPr>
        <w:t xml:space="preserve">R), </w:t>
      </w:r>
      <w:r w:rsidR="00591221">
        <w:rPr>
          <w:rFonts w:ascii="Garamond" w:hAnsi="Garamond" w:cs="Arial"/>
          <w:szCs w:val="24"/>
        </w:rPr>
        <w:t>equivalent</w:t>
      </w:r>
      <w:r>
        <w:rPr>
          <w:rFonts w:ascii="Garamond" w:hAnsi="Garamond" w:cs="Arial"/>
          <w:szCs w:val="24"/>
        </w:rPr>
        <w:t xml:space="preserve"> to the risk ratio, for </w:t>
      </w:r>
      <w:r w:rsidR="00453256">
        <w:rPr>
          <w:rFonts w:ascii="Garamond" w:hAnsi="Garamond" w:cs="Arial"/>
          <w:szCs w:val="24"/>
        </w:rPr>
        <w:t>major malformations and major</w:t>
      </w:r>
      <w:r w:rsidR="00581AC6" w:rsidRPr="00D67B18">
        <w:rPr>
          <w:rFonts w:ascii="Garamond" w:hAnsi="Garamond" w:cs="Arial"/>
          <w:szCs w:val="24"/>
        </w:rPr>
        <w:t xml:space="preserve"> cardiac malformations</w:t>
      </w:r>
      <w:r w:rsidR="004C0795" w:rsidRPr="00D67B18">
        <w:rPr>
          <w:rFonts w:ascii="Garamond" w:hAnsi="Garamond" w:cs="Arial"/>
          <w:szCs w:val="24"/>
        </w:rPr>
        <w:t xml:space="preserve"> </w:t>
      </w:r>
      <w:r>
        <w:rPr>
          <w:rFonts w:ascii="Garamond" w:hAnsi="Garamond" w:cs="Arial"/>
          <w:szCs w:val="24"/>
        </w:rPr>
        <w:t>comparing the exposed to the unexposed pregnancies</w:t>
      </w:r>
      <w:r w:rsidR="00581AC6" w:rsidRPr="00D67B18">
        <w:rPr>
          <w:rFonts w:ascii="Garamond" w:hAnsi="Garamond" w:cs="Arial"/>
          <w:szCs w:val="24"/>
        </w:rPr>
        <w:t xml:space="preserve">. </w:t>
      </w:r>
    </w:p>
    <w:p w:rsidR="00330E85" w:rsidRDefault="00330E85" w:rsidP="00D67B18">
      <w:pPr>
        <w:spacing w:before="120" w:line="360" w:lineRule="auto"/>
        <w:jc w:val="both"/>
        <w:rPr>
          <w:rFonts w:ascii="Garamond" w:hAnsi="Garamond" w:cs="Arial"/>
          <w:szCs w:val="24"/>
        </w:rPr>
      </w:pPr>
      <w:r>
        <w:rPr>
          <w:rFonts w:ascii="Garamond" w:hAnsi="Garamond" w:cs="Arial"/>
          <w:szCs w:val="24"/>
        </w:rPr>
        <w:t xml:space="preserve">We furthermore applied a range of </w:t>
      </w:r>
      <w:r w:rsidR="00591221">
        <w:rPr>
          <w:rFonts w:ascii="Garamond" w:hAnsi="Garamond" w:cs="Arial"/>
          <w:szCs w:val="24"/>
        </w:rPr>
        <w:t>supplementary/</w:t>
      </w:r>
      <w:r>
        <w:rPr>
          <w:rFonts w:ascii="Garamond" w:hAnsi="Garamond" w:cs="Arial"/>
          <w:szCs w:val="24"/>
        </w:rPr>
        <w:t xml:space="preserve">sensitivity analyses. </w:t>
      </w:r>
    </w:p>
    <w:p w:rsidR="00BF46E5" w:rsidRDefault="00BF46E5" w:rsidP="00BF46E5">
      <w:pPr>
        <w:spacing w:before="120" w:line="360" w:lineRule="auto"/>
        <w:jc w:val="both"/>
        <w:rPr>
          <w:rFonts w:ascii="Garamond" w:hAnsi="Garamond" w:cs="Arial"/>
          <w:szCs w:val="24"/>
        </w:rPr>
      </w:pPr>
      <w:r>
        <w:rPr>
          <w:rFonts w:ascii="Garamond" w:hAnsi="Garamond" w:cs="Arial"/>
          <w:szCs w:val="24"/>
        </w:rPr>
        <w:t>Firstly, we</w:t>
      </w:r>
      <w:r w:rsidRPr="00D67B18">
        <w:rPr>
          <w:rFonts w:ascii="Garamond" w:hAnsi="Garamond" w:cs="Arial"/>
          <w:szCs w:val="24"/>
        </w:rPr>
        <w:t xml:space="preserve"> performed </w:t>
      </w:r>
      <w:r w:rsidR="00264674">
        <w:rPr>
          <w:rFonts w:ascii="Garamond" w:hAnsi="Garamond" w:cs="Arial"/>
          <w:szCs w:val="24"/>
        </w:rPr>
        <w:t>subgroup analyse</w:t>
      </w:r>
      <w:r w:rsidRPr="00D67B18">
        <w:rPr>
          <w:rFonts w:ascii="Garamond" w:hAnsi="Garamond" w:cs="Arial"/>
          <w:szCs w:val="24"/>
        </w:rPr>
        <w:t>s, stratifying by maternal age</w:t>
      </w:r>
      <w:r w:rsidR="00264674">
        <w:rPr>
          <w:rFonts w:ascii="Garamond" w:hAnsi="Garamond" w:cs="Arial"/>
          <w:szCs w:val="24"/>
        </w:rPr>
        <w:t xml:space="preserve"> and by </w:t>
      </w:r>
      <w:r w:rsidRPr="00D67B18">
        <w:rPr>
          <w:rFonts w:ascii="Garamond" w:hAnsi="Garamond" w:cs="Arial"/>
          <w:szCs w:val="24"/>
        </w:rPr>
        <w:t>excluding pregnancies with concomitant use</w:t>
      </w:r>
      <w:r w:rsidR="00034209">
        <w:rPr>
          <w:rFonts w:ascii="Garamond" w:hAnsi="Garamond" w:cs="Arial"/>
          <w:szCs w:val="24"/>
        </w:rPr>
        <w:t xml:space="preserve"> of</w:t>
      </w:r>
      <w:r w:rsidRPr="00D67B18">
        <w:rPr>
          <w:rFonts w:ascii="Garamond" w:hAnsi="Garamond" w:cs="Arial"/>
          <w:szCs w:val="24"/>
        </w:rPr>
        <w:t xml:space="preserve"> </w:t>
      </w:r>
      <w:r>
        <w:rPr>
          <w:rFonts w:ascii="Garamond" w:hAnsi="Garamond" w:cs="Arial"/>
          <w:szCs w:val="24"/>
        </w:rPr>
        <w:t xml:space="preserve">other psychostimulants </w:t>
      </w:r>
      <w:r w:rsidR="00034209">
        <w:rPr>
          <w:rFonts w:ascii="Garamond" w:hAnsi="Garamond" w:cs="Arial"/>
          <w:szCs w:val="24"/>
        </w:rPr>
        <w:t xml:space="preserve">than MPH </w:t>
      </w:r>
      <w:r>
        <w:rPr>
          <w:rFonts w:ascii="Garamond" w:hAnsi="Garamond" w:cs="Arial"/>
          <w:szCs w:val="24"/>
        </w:rPr>
        <w:t>(ATC, N0</w:t>
      </w:r>
      <w:r w:rsidR="006D44FE">
        <w:rPr>
          <w:rFonts w:ascii="Garamond" w:hAnsi="Garamond" w:cs="Arial"/>
          <w:szCs w:val="24"/>
        </w:rPr>
        <w:t>6</w:t>
      </w:r>
      <w:r>
        <w:rPr>
          <w:rFonts w:ascii="Garamond" w:hAnsi="Garamond" w:cs="Arial"/>
          <w:szCs w:val="24"/>
        </w:rPr>
        <w:t xml:space="preserve">BA) or any of </w:t>
      </w:r>
      <w:r w:rsidRPr="00D67B18">
        <w:rPr>
          <w:rFonts w:ascii="Garamond" w:hAnsi="Garamond" w:cs="Arial"/>
          <w:szCs w:val="24"/>
        </w:rPr>
        <w:t>the a</w:t>
      </w:r>
      <w:r>
        <w:rPr>
          <w:rFonts w:ascii="Garamond" w:hAnsi="Garamond" w:cs="Arial"/>
          <w:szCs w:val="24"/>
        </w:rPr>
        <w:t>bovementioned confounder drugs.</w:t>
      </w:r>
    </w:p>
    <w:p w:rsidR="00330E85" w:rsidRDefault="00BF46E5" w:rsidP="00BF46E5">
      <w:pPr>
        <w:spacing w:before="120" w:line="360" w:lineRule="auto"/>
        <w:jc w:val="both"/>
        <w:rPr>
          <w:rFonts w:ascii="Garamond" w:hAnsi="Garamond" w:cs="Arial"/>
          <w:szCs w:val="24"/>
        </w:rPr>
      </w:pPr>
      <w:r>
        <w:rPr>
          <w:rFonts w:ascii="Garamond" w:hAnsi="Garamond" w:cs="Arial"/>
          <w:szCs w:val="24"/>
        </w:rPr>
        <w:t>Secondly</w:t>
      </w:r>
      <w:r w:rsidR="00330E85">
        <w:rPr>
          <w:rFonts w:ascii="Garamond" w:hAnsi="Garamond" w:cs="Arial"/>
          <w:szCs w:val="24"/>
        </w:rPr>
        <w:t xml:space="preserve">, we changed the eligibility criteria for entering the </w:t>
      </w:r>
      <w:r>
        <w:rPr>
          <w:rFonts w:ascii="Garamond" w:hAnsi="Garamond" w:cs="Arial"/>
          <w:szCs w:val="24"/>
        </w:rPr>
        <w:t xml:space="preserve">unexposed </w:t>
      </w:r>
      <w:r w:rsidR="00330E85">
        <w:rPr>
          <w:rFonts w:ascii="Garamond" w:hAnsi="Garamond" w:cs="Arial"/>
          <w:szCs w:val="24"/>
        </w:rPr>
        <w:t xml:space="preserve">cohort </w:t>
      </w:r>
      <w:r>
        <w:rPr>
          <w:rFonts w:ascii="Garamond" w:hAnsi="Garamond" w:cs="Arial"/>
          <w:szCs w:val="24"/>
        </w:rPr>
        <w:t xml:space="preserve">from never-use to previous use of MPH. This was defined as having </w:t>
      </w:r>
      <w:r w:rsidR="004A207D">
        <w:rPr>
          <w:rFonts w:ascii="Garamond" w:hAnsi="Garamond" w:cs="Arial"/>
          <w:szCs w:val="24"/>
        </w:rPr>
        <w:t>redeemed</w:t>
      </w:r>
      <w:r>
        <w:rPr>
          <w:rFonts w:ascii="Garamond" w:hAnsi="Garamond" w:cs="Arial"/>
          <w:szCs w:val="24"/>
        </w:rPr>
        <w:t xml:space="preserve"> </w:t>
      </w:r>
      <w:r w:rsidR="00330E85" w:rsidRPr="00D67B18">
        <w:rPr>
          <w:rFonts w:ascii="Garamond" w:hAnsi="Garamond" w:cs="Arial"/>
          <w:szCs w:val="24"/>
        </w:rPr>
        <w:t xml:space="preserve">two or more prescriptions for </w:t>
      </w:r>
      <w:r w:rsidR="00330E85">
        <w:rPr>
          <w:rFonts w:ascii="Garamond" w:hAnsi="Garamond" w:cs="Arial"/>
          <w:szCs w:val="24"/>
        </w:rPr>
        <w:t>MPH</w:t>
      </w:r>
      <w:r w:rsidR="00330E85" w:rsidRPr="00D67B18">
        <w:rPr>
          <w:rFonts w:ascii="Garamond" w:hAnsi="Garamond" w:cs="Arial"/>
          <w:szCs w:val="24"/>
        </w:rPr>
        <w:t xml:space="preserve"> prior to 180 days before the beginning of the first trimester, but no prescriptions for </w:t>
      </w:r>
      <w:r w:rsidR="006D44FE">
        <w:rPr>
          <w:rFonts w:ascii="Garamond" w:hAnsi="Garamond" w:cs="Arial"/>
          <w:szCs w:val="24"/>
        </w:rPr>
        <w:t>any psychostimulant (ATC, N06BA)</w:t>
      </w:r>
      <w:r w:rsidR="00330E85" w:rsidRPr="00D67B18">
        <w:rPr>
          <w:rFonts w:ascii="Garamond" w:hAnsi="Garamond" w:cs="Arial"/>
          <w:szCs w:val="24"/>
        </w:rPr>
        <w:t xml:space="preserve"> within a time window defined as 180 days before the beginning of the first trimester up to the end of the pregnancy.</w:t>
      </w:r>
      <w:r w:rsidR="00330E85" w:rsidRPr="00350548">
        <w:rPr>
          <w:rFonts w:ascii="Garamond" w:hAnsi="Garamond" w:cs="Arial"/>
          <w:szCs w:val="24"/>
        </w:rPr>
        <w:t xml:space="preserve"> </w:t>
      </w:r>
      <w:r>
        <w:rPr>
          <w:rFonts w:ascii="Garamond" w:hAnsi="Garamond" w:cs="Arial"/>
          <w:szCs w:val="24"/>
        </w:rPr>
        <w:t>In this analysis, we only matched exposed to unexposed in a ratio of 1:</w:t>
      </w:r>
      <w:r w:rsidR="00453256">
        <w:rPr>
          <w:rFonts w:ascii="Garamond" w:hAnsi="Garamond" w:cs="Arial"/>
          <w:szCs w:val="24"/>
        </w:rPr>
        <w:t>1</w:t>
      </w:r>
      <w:r>
        <w:rPr>
          <w:rFonts w:ascii="Garamond" w:hAnsi="Garamond" w:cs="Arial"/>
          <w:szCs w:val="24"/>
        </w:rPr>
        <w:t xml:space="preserve">. </w:t>
      </w:r>
    </w:p>
    <w:p w:rsidR="003D520A" w:rsidRPr="00D67B18" w:rsidRDefault="00F326C9" w:rsidP="00880F90">
      <w:pPr>
        <w:spacing w:before="120" w:line="360" w:lineRule="auto"/>
        <w:jc w:val="both"/>
        <w:rPr>
          <w:rFonts w:ascii="Garamond" w:hAnsi="Garamond" w:cstheme="minorHAnsi"/>
          <w:b/>
          <w:szCs w:val="24"/>
          <w:lang w:val="en-GB"/>
        </w:rPr>
      </w:pPr>
      <w:r>
        <w:rPr>
          <w:rFonts w:ascii="Garamond" w:hAnsi="Garamond" w:cs="Arial"/>
          <w:szCs w:val="24"/>
        </w:rPr>
        <w:t>Lastly</w:t>
      </w:r>
      <w:r w:rsidR="00AD64E3" w:rsidRPr="00D67B18">
        <w:rPr>
          <w:rFonts w:ascii="Garamond" w:hAnsi="Garamond" w:cs="Arial"/>
          <w:szCs w:val="24"/>
        </w:rPr>
        <w:t xml:space="preserve">, </w:t>
      </w:r>
      <w:r w:rsidR="00E56EAF" w:rsidRPr="00D67B18">
        <w:rPr>
          <w:rFonts w:ascii="Garamond" w:hAnsi="Garamond" w:cs="Arial"/>
          <w:szCs w:val="24"/>
        </w:rPr>
        <w:t xml:space="preserve">we </w:t>
      </w:r>
      <w:r w:rsidR="00330E85">
        <w:rPr>
          <w:rFonts w:ascii="Garamond" w:hAnsi="Garamond" w:cs="Arial"/>
          <w:szCs w:val="24"/>
        </w:rPr>
        <w:t xml:space="preserve">applied </w:t>
      </w:r>
      <w:r w:rsidR="00E56EAF" w:rsidRPr="00D67B18">
        <w:rPr>
          <w:rFonts w:ascii="Garamond" w:hAnsi="Garamond" w:cs="Arial"/>
          <w:szCs w:val="24"/>
        </w:rPr>
        <w:t>alternative criteria to define pregnancies that entered the</w:t>
      </w:r>
      <w:r w:rsidR="00BF46E5">
        <w:rPr>
          <w:rFonts w:ascii="Garamond" w:hAnsi="Garamond" w:cs="Arial"/>
          <w:szCs w:val="24"/>
        </w:rPr>
        <w:t xml:space="preserve"> exposed</w:t>
      </w:r>
      <w:r w:rsidR="00E56EAF" w:rsidRPr="00D67B18">
        <w:rPr>
          <w:rFonts w:ascii="Garamond" w:hAnsi="Garamond" w:cs="Arial"/>
          <w:szCs w:val="24"/>
        </w:rPr>
        <w:t xml:space="preserve"> cohort</w:t>
      </w:r>
      <w:r w:rsidR="00AD64E3" w:rsidRPr="00D67B18">
        <w:rPr>
          <w:rFonts w:ascii="Garamond" w:hAnsi="Garamond" w:cs="Arial"/>
          <w:szCs w:val="24"/>
        </w:rPr>
        <w:t xml:space="preserve">: </w:t>
      </w:r>
      <w:r w:rsidR="009F449D" w:rsidRPr="00D67B18">
        <w:rPr>
          <w:rFonts w:ascii="Garamond" w:hAnsi="Garamond" w:cs="Arial"/>
          <w:szCs w:val="24"/>
        </w:rPr>
        <w:t>A</w:t>
      </w:r>
      <w:r w:rsidR="00AD64E3" w:rsidRPr="00D67B18">
        <w:rPr>
          <w:rFonts w:ascii="Garamond" w:hAnsi="Garamond" w:cs="Arial"/>
          <w:szCs w:val="24"/>
        </w:rPr>
        <w:t xml:space="preserve">) </w:t>
      </w:r>
      <w:r w:rsidR="005601AD">
        <w:rPr>
          <w:rFonts w:ascii="Garamond" w:hAnsi="Garamond" w:cs="Arial"/>
          <w:szCs w:val="24"/>
        </w:rPr>
        <w:t xml:space="preserve">A more restrictive criteria, requiring </w:t>
      </w:r>
      <w:r w:rsidR="00064EFB">
        <w:rPr>
          <w:rFonts w:ascii="Garamond" w:hAnsi="Garamond" w:cs="Arial"/>
          <w:szCs w:val="24"/>
        </w:rPr>
        <w:t>one</w:t>
      </w:r>
      <w:r w:rsidR="00AA55C2">
        <w:rPr>
          <w:rFonts w:ascii="Garamond" w:hAnsi="Garamond" w:cs="Arial"/>
          <w:szCs w:val="24"/>
        </w:rPr>
        <w:t xml:space="preserve"> or more prescriptions </w:t>
      </w:r>
      <w:r w:rsidR="00AA55C2" w:rsidRPr="00D67B18">
        <w:rPr>
          <w:rFonts w:ascii="Garamond" w:hAnsi="Garamond" w:cs="Arial"/>
          <w:szCs w:val="24"/>
        </w:rPr>
        <w:t>within the first trimester</w:t>
      </w:r>
      <w:r w:rsidR="00AA55C2">
        <w:rPr>
          <w:rFonts w:ascii="Garamond" w:hAnsi="Garamond" w:cs="Arial"/>
          <w:szCs w:val="24"/>
        </w:rPr>
        <w:t>, and B) a less restrictive criteria</w:t>
      </w:r>
      <w:r w:rsidR="00064EFB">
        <w:rPr>
          <w:rFonts w:ascii="Garamond" w:hAnsi="Garamond" w:cs="Arial"/>
          <w:szCs w:val="24"/>
        </w:rPr>
        <w:t>,</w:t>
      </w:r>
      <w:r w:rsidR="00AA55C2">
        <w:rPr>
          <w:rFonts w:ascii="Garamond" w:hAnsi="Garamond" w:cs="Arial"/>
          <w:szCs w:val="24"/>
        </w:rPr>
        <w:t xml:space="preserve"> requiring o</w:t>
      </w:r>
      <w:r w:rsidR="00AD64E3" w:rsidRPr="00D67B18">
        <w:rPr>
          <w:rFonts w:ascii="Garamond" w:hAnsi="Garamond" w:cs="Arial"/>
          <w:szCs w:val="24"/>
        </w:rPr>
        <w:t>ne or more prescripti</w:t>
      </w:r>
      <w:r w:rsidR="00416D4B">
        <w:rPr>
          <w:rFonts w:ascii="Garamond" w:hAnsi="Garamond" w:cs="Arial"/>
          <w:szCs w:val="24"/>
        </w:rPr>
        <w:t xml:space="preserve">ons for </w:t>
      </w:r>
      <w:r w:rsidR="009D7D27">
        <w:rPr>
          <w:rFonts w:ascii="Garamond" w:hAnsi="Garamond" w:cs="Arial"/>
          <w:szCs w:val="24"/>
        </w:rPr>
        <w:t>MPH</w:t>
      </w:r>
      <w:r w:rsidR="00416D4B">
        <w:rPr>
          <w:rFonts w:ascii="Garamond" w:hAnsi="Garamond" w:cs="Arial"/>
          <w:szCs w:val="24"/>
        </w:rPr>
        <w:t xml:space="preserve"> within 4</w:t>
      </w:r>
      <w:r w:rsidR="00AD64E3" w:rsidRPr="00D67B18">
        <w:rPr>
          <w:rFonts w:ascii="Garamond" w:hAnsi="Garamond" w:cs="Arial"/>
          <w:szCs w:val="24"/>
        </w:rPr>
        <w:t>0 days before the beginning of the first trimester up to the end of the first trimester</w:t>
      </w:r>
      <w:r w:rsidR="00AA55C2">
        <w:rPr>
          <w:rFonts w:ascii="Garamond" w:hAnsi="Garamond" w:cs="Arial"/>
          <w:szCs w:val="24"/>
        </w:rPr>
        <w:t>.</w:t>
      </w:r>
      <w:r w:rsidR="0017008A" w:rsidRPr="00D67B18">
        <w:rPr>
          <w:rFonts w:ascii="Garamond" w:hAnsi="Garamond" w:cs="Arial"/>
          <w:b/>
          <w:szCs w:val="24"/>
          <w:lang w:val="en-GB"/>
        </w:rPr>
        <w:br w:type="page"/>
      </w:r>
      <w:bookmarkStart w:id="0" w:name="_GoBack"/>
      <w:bookmarkEnd w:id="0"/>
    </w:p>
    <w:p w:rsidR="00CA4F5D" w:rsidRPr="00EC3DB5" w:rsidRDefault="00CA4F5D" w:rsidP="00CA4F5D">
      <w:pPr>
        <w:spacing w:line="360" w:lineRule="auto"/>
        <w:jc w:val="both"/>
        <w:rPr>
          <w:rFonts w:ascii="Garamond" w:hAnsi="Garamond" w:cstheme="minorHAnsi"/>
          <w:b/>
          <w:sz w:val="28"/>
        </w:rPr>
      </w:pPr>
      <w:r>
        <w:rPr>
          <w:rFonts w:ascii="Garamond" w:hAnsi="Garamond" w:cstheme="minorHAnsi"/>
          <w:b/>
          <w:sz w:val="28"/>
        </w:rPr>
        <w:lastRenderedPageBreak/>
        <w:t>Figures</w:t>
      </w:r>
    </w:p>
    <w:p w:rsidR="00CA4F5D" w:rsidRDefault="00CA4F5D">
      <w:pPr>
        <w:spacing w:after="200" w:line="276" w:lineRule="auto"/>
        <w:rPr>
          <w:rFonts w:ascii="Garamond" w:hAnsi="Garamond" w:cstheme="minorHAnsi"/>
          <w:b/>
          <w:sz w:val="28"/>
        </w:rPr>
      </w:pPr>
    </w:p>
    <w:p w:rsidR="00CA4F5D" w:rsidRPr="00CA4F5D" w:rsidRDefault="00CA4F5D">
      <w:pPr>
        <w:spacing w:after="200" w:line="276" w:lineRule="auto"/>
        <w:rPr>
          <w:rFonts w:ascii="Garamond" w:hAnsi="Garamond" w:cstheme="minorHAnsi"/>
          <w:b/>
          <w:szCs w:val="24"/>
        </w:rPr>
      </w:pPr>
      <w:r w:rsidRPr="00CA4F5D">
        <w:rPr>
          <w:rFonts w:ascii="Garamond" w:hAnsi="Garamond" w:cstheme="minorHAnsi"/>
          <w:b/>
          <w:szCs w:val="24"/>
        </w:rPr>
        <w:t>Figure 1</w:t>
      </w:r>
      <w:r>
        <w:rPr>
          <w:rFonts w:ascii="Garamond" w:hAnsi="Garamond" w:cstheme="minorHAnsi"/>
          <w:b/>
          <w:szCs w:val="24"/>
        </w:rPr>
        <w:t>: Flowchart over included pregnancies</w:t>
      </w:r>
    </w:p>
    <w:p w:rsidR="00CA4F5D" w:rsidRDefault="0060367C">
      <w:pPr>
        <w:spacing w:after="200" w:line="276" w:lineRule="auto"/>
        <w:rPr>
          <w:rFonts w:ascii="Garamond" w:hAnsi="Garamond" w:cstheme="minorHAnsi"/>
          <w:b/>
          <w:sz w:val="28"/>
        </w:rPr>
      </w:pPr>
      <w:r>
        <w:rPr>
          <w:rFonts w:ascii="Garamond" w:hAnsi="Garamond" w:cstheme="minorHAnsi"/>
          <w:b/>
          <w:noProof/>
          <w:sz w:val="28"/>
          <w:lang w:val="da-DK"/>
        </w:rPr>
        <w:drawing>
          <wp:inline distT="0" distB="0" distL="0" distR="0">
            <wp:extent cx="4824095" cy="718883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4095" cy="7188835"/>
                    </a:xfrm>
                    <a:prstGeom prst="rect">
                      <a:avLst/>
                    </a:prstGeom>
                    <a:noFill/>
                    <a:ln>
                      <a:noFill/>
                    </a:ln>
                  </pic:spPr>
                </pic:pic>
              </a:graphicData>
            </a:graphic>
          </wp:inline>
        </w:drawing>
      </w:r>
      <w:r w:rsidR="00CA4F5D">
        <w:rPr>
          <w:rFonts w:ascii="Garamond" w:hAnsi="Garamond" w:cstheme="minorHAnsi"/>
          <w:b/>
          <w:sz w:val="28"/>
        </w:rPr>
        <w:br w:type="page"/>
      </w:r>
    </w:p>
    <w:p w:rsidR="00400A04" w:rsidRPr="00EC3DB5" w:rsidRDefault="00400A04" w:rsidP="00400A04">
      <w:pPr>
        <w:spacing w:line="360" w:lineRule="auto"/>
        <w:jc w:val="both"/>
        <w:rPr>
          <w:rFonts w:ascii="Garamond" w:hAnsi="Garamond" w:cstheme="minorHAnsi"/>
          <w:b/>
          <w:sz w:val="28"/>
        </w:rPr>
      </w:pPr>
      <w:r w:rsidRPr="00EC3DB5">
        <w:rPr>
          <w:rFonts w:ascii="Garamond" w:hAnsi="Garamond" w:cstheme="minorHAnsi"/>
          <w:b/>
          <w:sz w:val="28"/>
        </w:rPr>
        <w:lastRenderedPageBreak/>
        <w:t>Tables</w:t>
      </w:r>
    </w:p>
    <w:p w:rsidR="001635D8" w:rsidRPr="00EC3DB5" w:rsidRDefault="001635D8" w:rsidP="00FF2FCE">
      <w:pPr>
        <w:spacing w:line="360" w:lineRule="auto"/>
        <w:jc w:val="both"/>
        <w:rPr>
          <w:rFonts w:ascii="Garamond" w:hAnsi="Garamond" w:cstheme="minorHAnsi"/>
          <w:sz w:val="22"/>
        </w:rPr>
      </w:pPr>
    </w:p>
    <w:p w:rsidR="007F1ACB" w:rsidRPr="00EC3DB5" w:rsidRDefault="007F1ACB" w:rsidP="001B0881">
      <w:pPr>
        <w:spacing w:line="276" w:lineRule="auto"/>
        <w:jc w:val="both"/>
        <w:rPr>
          <w:rFonts w:ascii="Garamond" w:hAnsi="Garamond" w:cstheme="minorHAnsi"/>
          <w:szCs w:val="24"/>
        </w:rPr>
      </w:pPr>
      <w:r w:rsidRPr="00EC3DB5">
        <w:rPr>
          <w:rFonts w:ascii="Garamond" w:hAnsi="Garamond" w:cstheme="minorHAnsi"/>
          <w:b/>
          <w:szCs w:val="24"/>
        </w:rPr>
        <w:t>Table 1: Basic characteristics</w:t>
      </w:r>
      <w:r w:rsidR="009A1934">
        <w:rPr>
          <w:rFonts w:ascii="Garamond" w:hAnsi="Garamond" w:cstheme="minorHAnsi"/>
          <w:b/>
          <w:szCs w:val="24"/>
        </w:rPr>
        <w:t xml:space="preserve"> </w:t>
      </w:r>
      <w:r w:rsidRPr="00EC3DB5">
        <w:rPr>
          <w:rFonts w:ascii="Garamond" w:hAnsi="Garamond" w:cstheme="minorHAnsi"/>
          <w:b/>
          <w:szCs w:val="24"/>
        </w:rPr>
        <w:t xml:space="preserve">of </w:t>
      </w:r>
      <w:r w:rsidR="003A6647">
        <w:rPr>
          <w:rFonts w:ascii="Garamond" w:hAnsi="Garamond" w:cstheme="minorHAnsi"/>
          <w:b/>
          <w:szCs w:val="24"/>
        </w:rPr>
        <w:t xml:space="preserve">included </w:t>
      </w:r>
      <w:r w:rsidRPr="00EC3DB5">
        <w:rPr>
          <w:rFonts w:ascii="Garamond" w:hAnsi="Garamond" w:cstheme="minorHAnsi"/>
          <w:b/>
          <w:szCs w:val="24"/>
        </w:rPr>
        <w:t>pregnancies.</w:t>
      </w:r>
    </w:p>
    <w:tbl>
      <w:tblPr>
        <w:tblW w:w="0" w:type="auto"/>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1" w:type="dxa"/>
          <w:right w:w="101" w:type="dxa"/>
        </w:tblCellMar>
        <w:tblLook w:val="0000" w:firstRow="0" w:lastRow="0" w:firstColumn="0" w:lastColumn="0" w:noHBand="0" w:noVBand="0"/>
      </w:tblPr>
      <w:tblGrid>
        <w:gridCol w:w="3384"/>
        <w:gridCol w:w="1175"/>
        <w:gridCol w:w="1452"/>
      </w:tblGrid>
      <w:tr w:rsidR="00034209" w:rsidRPr="00EC3DB5" w:rsidTr="00E8197B">
        <w:trPr>
          <w:cantSplit/>
        </w:trPr>
        <w:tc>
          <w:tcPr>
            <w:tcW w:w="0" w:type="auto"/>
            <w:tcBorders>
              <w:top w:val="single" w:sz="8" w:space="0" w:color="000000"/>
              <w:left w:val="nil"/>
              <w:bottom w:val="nil"/>
              <w:right w:val="nil"/>
            </w:tcBorders>
            <w:vAlign w:val="center"/>
          </w:tcPr>
          <w:p w:rsidR="00CA4F5D" w:rsidRPr="00EC3DB5" w:rsidRDefault="00CA4F5D" w:rsidP="000A2DC3">
            <w:pPr>
              <w:spacing w:line="276" w:lineRule="auto"/>
              <w:rPr>
                <w:rFonts w:ascii="Garamond" w:hAnsi="Garamond" w:cstheme="minorHAnsi"/>
              </w:rPr>
            </w:pPr>
          </w:p>
        </w:tc>
        <w:tc>
          <w:tcPr>
            <w:tcW w:w="0" w:type="auto"/>
            <w:tcBorders>
              <w:top w:val="single" w:sz="8" w:space="0" w:color="000000"/>
              <w:left w:val="nil"/>
              <w:bottom w:val="nil"/>
              <w:right w:val="nil"/>
            </w:tcBorders>
            <w:vAlign w:val="center"/>
          </w:tcPr>
          <w:p w:rsidR="00CA4F5D" w:rsidRPr="00EC3DB5" w:rsidRDefault="00BF46E5" w:rsidP="000A2DC3">
            <w:pPr>
              <w:spacing w:line="276" w:lineRule="auto"/>
              <w:jc w:val="center"/>
              <w:rPr>
                <w:rFonts w:ascii="Garamond" w:hAnsi="Garamond" w:cstheme="minorHAnsi"/>
                <w:b/>
                <w:szCs w:val="24"/>
              </w:rPr>
            </w:pPr>
            <w:r>
              <w:rPr>
                <w:rFonts w:ascii="Garamond" w:hAnsi="Garamond" w:cstheme="minorHAnsi"/>
                <w:b/>
                <w:szCs w:val="24"/>
              </w:rPr>
              <w:t>E</w:t>
            </w:r>
            <w:r w:rsidR="00CA4F5D" w:rsidRPr="00EC3DB5">
              <w:rPr>
                <w:rFonts w:ascii="Garamond" w:hAnsi="Garamond" w:cstheme="minorHAnsi"/>
                <w:b/>
                <w:szCs w:val="24"/>
              </w:rPr>
              <w:t>xposed</w:t>
            </w:r>
          </w:p>
        </w:tc>
        <w:tc>
          <w:tcPr>
            <w:tcW w:w="0" w:type="auto"/>
            <w:tcBorders>
              <w:top w:val="single" w:sz="8" w:space="0" w:color="000000"/>
              <w:left w:val="nil"/>
              <w:bottom w:val="nil"/>
              <w:right w:val="nil"/>
            </w:tcBorders>
            <w:vAlign w:val="center"/>
          </w:tcPr>
          <w:p w:rsidR="00CA4F5D" w:rsidRPr="00EC3DB5" w:rsidRDefault="00BF46E5" w:rsidP="00E8197B">
            <w:pPr>
              <w:spacing w:line="276" w:lineRule="auto"/>
              <w:jc w:val="center"/>
              <w:rPr>
                <w:rFonts w:ascii="Garamond" w:hAnsi="Garamond" w:cstheme="minorHAnsi"/>
                <w:b/>
                <w:szCs w:val="24"/>
              </w:rPr>
            </w:pPr>
            <w:r>
              <w:rPr>
                <w:rFonts w:ascii="Garamond" w:hAnsi="Garamond" w:cstheme="minorHAnsi"/>
                <w:b/>
                <w:szCs w:val="24"/>
              </w:rPr>
              <w:t>Unexposed</w:t>
            </w:r>
          </w:p>
        </w:tc>
      </w:tr>
      <w:tr w:rsidR="00034209" w:rsidRPr="00EC3DB5" w:rsidTr="00DA73FD">
        <w:trPr>
          <w:cantSplit/>
        </w:trPr>
        <w:tc>
          <w:tcPr>
            <w:tcW w:w="0" w:type="auto"/>
            <w:tcBorders>
              <w:top w:val="nil"/>
              <w:left w:val="nil"/>
              <w:bottom w:val="single" w:sz="8" w:space="0" w:color="000000"/>
              <w:right w:val="nil"/>
            </w:tcBorders>
          </w:tcPr>
          <w:p w:rsidR="00CA4F5D" w:rsidRPr="00EC3DB5" w:rsidRDefault="00CA4F5D" w:rsidP="000A2DC3">
            <w:pPr>
              <w:spacing w:line="276" w:lineRule="auto"/>
              <w:rPr>
                <w:rFonts w:ascii="Garamond" w:hAnsi="Garamond" w:cstheme="minorHAnsi"/>
              </w:rPr>
            </w:pPr>
          </w:p>
        </w:tc>
        <w:tc>
          <w:tcPr>
            <w:tcW w:w="0" w:type="auto"/>
            <w:tcBorders>
              <w:top w:val="nil"/>
              <w:left w:val="nil"/>
              <w:bottom w:val="single" w:sz="8" w:space="0" w:color="000000"/>
              <w:right w:val="nil"/>
            </w:tcBorders>
          </w:tcPr>
          <w:p w:rsidR="00CA4F5D" w:rsidRPr="00EC3DB5" w:rsidRDefault="00CA4F5D" w:rsidP="000A2DC3">
            <w:pPr>
              <w:spacing w:line="276" w:lineRule="auto"/>
              <w:jc w:val="center"/>
              <w:rPr>
                <w:rFonts w:ascii="Garamond" w:hAnsi="Garamond" w:cstheme="minorHAnsi"/>
                <w:b/>
                <w:szCs w:val="24"/>
              </w:rPr>
            </w:pPr>
            <w:r w:rsidRPr="00EC3DB5">
              <w:rPr>
                <w:rFonts w:ascii="Garamond" w:hAnsi="Garamond" w:cstheme="minorHAnsi"/>
                <w:b/>
                <w:szCs w:val="24"/>
              </w:rPr>
              <w:t>(n=)</w:t>
            </w:r>
          </w:p>
        </w:tc>
        <w:tc>
          <w:tcPr>
            <w:tcW w:w="0" w:type="auto"/>
            <w:tcBorders>
              <w:top w:val="nil"/>
              <w:left w:val="nil"/>
              <w:bottom w:val="single" w:sz="8" w:space="0" w:color="000000"/>
              <w:right w:val="nil"/>
            </w:tcBorders>
          </w:tcPr>
          <w:p w:rsidR="00CA4F5D" w:rsidRPr="00EC3DB5" w:rsidRDefault="00CA4F5D" w:rsidP="000A2DC3">
            <w:pPr>
              <w:spacing w:line="276" w:lineRule="auto"/>
              <w:jc w:val="center"/>
              <w:rPr>
                <w:rFonts w:ascii="Garamond" w:hAnsi="Garamond" w:cstheme="minorHAnsi"/>
                <w:b/>
                <w:szCs w:val="24"/>
              </w:rPr>
            </w:pPr>
            <w:r w:rsidRPr="00EC3DB5">
              <w:rPr>
                <w:rFonts w:ascii="Garamond" w:hAnsi="Garamond" w:cstheme="minorHAnsi"/>
                <w:b/>
                <w:szCs w:val="24"/>
              </w:rPr>
              <w:t>(n=)</w:t>
            </w:r>
          </w:p>
        </w:tc>
      </w:tr>
      <w:tr w:rsidR="00034209" w:rsidRPr="00EC3DB5" w:rsidTr="00DA73FD">
        <w:trPr>
          <w:cantSplit/>
        </w:trPr>
        <w:tc>
          <w:tcPr>
            <w:tcW w:w="0" w:type="auto"/>
            <w:tcBorders>
              <w:top w:val="nil"/>
              <w:left w:val="nil"/>
              <w:bottom w:val="nil"/>
              <w:right w:val="nil"/>
            </w:tcBorders>
          </w:tcPr>
          <w:p w:rsidR="00CA4F5D" w:rsidRPr="00117748" w:rsidRDefault="00BF46E5" w:rsidP="00364A2E">
            <w:pPr>
              <w:spacing w:before="120" w:line="276" w:lineRule="auto"/>
              <w:rPr>
                <w:rFonts w:ascii="Garamond" w:hAnsi="Garamond" w:cstheme="minorHAnsi"/>
                <w:szCs w:val="22"/>
              </w:rPr>
            </w:pPr>
            <w:r w:rsidRPr="00117748">
              <w:rPr>
                <w:rFonts w:ascii="Garamond" w:hAnsi="Garamond" w:cstheme="minorHAnsi"/>
                <w:sz w:val="22"/>
                <w:szCs w:val="22"/>
              </w:rPr>
              <w:t>Maternal age, median (IQR)</w:t>
            </w:r>
          </w:p>
        </w:tc>
        <w:tc>
          <w:tcPr>
            <w:tcW w:w="0" w:type="auto"/>
            <w:tcBorders>
              <w:top w:val="nil"/>
              <w:left w:val="nil"/>
              <w:bottom w:val="nil"/>
              <w:right w:val="nil"/>
            </w:tcBorders>
          </w:tcPr>
          <w:p w:rsidR="00CA4F5D" w:rsidRPr="00117748" w:rsidRDefault="00CA4F5D" w:rsidP="00364A2E">
            <w:pPr>
              <w:spacing w:before="120"/>
              <w:jc w:val="center"/>
              <w:rPr>
                <w:rFonts w:ascii="Garamond" w:hAnsi="Garamond" w:cstheme="minorHAnsi"/>
                <w:szCs w:val="22"/>
              </w:rPr>
            </w:pPr>
          </w:p>
        </w:tc>
        <w:tc>
          <w:tcPr>
            <w:tcW w:w="0" w:type="auto"/>
            <w:tcBorders>
              <w:top w:val="nil"/>
              <w:left w:val="nil"/>
              <w:bottom w:val="nil"/>
              <w:right w:val="nil"/>
            </w:tcBorders>
          </w:tcPr>
          <w:p w:rsidR="00CA4F5D" w:rsidRPr="00117748" w:rsidRDefault="00CA4F5D" w:rsidP="00364A2E">
            <w:pPr>
              <w:spacing w:before="120"/>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F34386">
            <w:pPr>
              <w:spacing w:before="120" w:line="276" w:lineRule="auto"/>
              <w:rPr>
                <w:rFonts w:ascii="Garamond" w:hAnsi="Garamond" w:cstheme="minorHAnsi"/>
                <w:szCs w:val="22"/>
              </w:rPr>
            </w:pPr>
            <w:r w:rsidRPr="00117748">
              <w:rPr>
                <w:rFonts w:ascii="Garamond" w:hAnsi="Garamond" w:cstheme="minorHAnsi"/>
                <w:sz w:val="22"/>
                <w:szCs w:val="22"/>
              </w:rPr>
              <w:t>Maternal BMI, median (IQR)</w:t>
            </w:r>
            <w:r w:rsidR="00790270" w:rsidRPr="00117748">
              <w:rPr>
                <w:rFonts w:ascii="Garamond" w:hAnsi="Garamond" w:cstheme="minorHAnsi"/>
                <w:sz w:val="22"/>
                <w:szCs w:val="22"/>
              </w:rPr>
              <w:t xml:space="preserve"> *</w:t>
            </w:r>
          </w:p>
        </w:tc>
        <w:tc>
          <w:tcPr>
            <w:tcW w:w="0" w:type="auto"/>
            <w:tcBorders>
              <w:top w:val="nil"/>
              <w:left w:val="nil"/>
              <w:bottom w:val="nil"/>
              <w:right w:val="nil"/>
            </w:tcBorders>
          </w:tcPr>
          <w:p w:rsidR="00F34386" w:rsidRPr="00117748" w:rsidRDefault="00F34386" w:rsidP="00790270">
            <w:pPr>
              <w:spacing w:before="120"/>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790270">
            <w:pPr>
              <w:spacing w:before="120"/>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F34386">
            <w:pPr>
              <w:spacing w:before="120" w:line="276" w:lineRule="auto"/>
              <w:rPr>
                <w:rFonts w:ascii="Garamond" w:hAnsi="Garamond" w:cstheme="minorHAnsi"/>
                <w:szCs w:val="22"/>
              </w:rPr>
            </w:pPr>
            <w:r w:rsidRPr="00117748">
              <w:rPr>
                <w:rFonts w:ascii="Garamond" w:hAnsi="Garamond" w:cstheme="minorHAnsi"/>
                <w:sz w:val="22"/>
                <w:szCs w:val="22"/>
              </w:rPr>
              <w:t>Maternal smoking status</w:t>
            </w:r>
          </w:p>
        </w:tc>
        <w:tc>
          <w:tcPr>
            <w:tcW w:w="0" w:type="auto"/>
            <w:tcBorders>
              <w:top w:val="nil"/>
              <w:left w:val="nil"/>
              <w:bottom w:val="nil"/>
              <w:right w:val="nil"/>
            </w:tcBorders>
          </w:tcPr>
          <w:p w:rsidR="00F34386" w:rsidRPr="00117748" w:rsidRDefault="00F34386" w:rsidP="00790270">
            <w:pPr>
              <w:spacing w:before="120"/>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790270">
            <w:pPr>
              <w:spacing w:before="120"/>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F34386">
            <w:pPr>
              <w:spacing w:line="276" w:lineRule="auto"/>
              <w:rPr>
                <w:rFonts w:ascii="Garamond" w:hAnsi="Garamond" w:cstheme="minorHAnsi"/>
                <w:szCs w:val="22"/>
              </w:rPr>
            </w:pPr>
            <w:r w:rsidRPr="00117748">
              <w:rPr>
                <w:rFonts w:ascii="Garamond" w:hAnsi="Garamond" w:cstheme="minorHAnsi"/>
                <w:sz w:val="22"/>
                <w:szCs w:val="22"/>
              </w:rPr>
              <w:t xml:space="preserve">   Yes</w:t>
            </w:r>
          </w:p>
        </w:tc>
        <w:tc>
          <w:tcPr>
            <w:tcW w:w="0" w:type="auto"/>
            <w:tcBorders>
              <w:top w:val="nil"/>
              <w:left w:val="nil"/>
              <w:bottom w:val="nil"/>
              <w:right w:val="nil"/>
            </w:tcBorders>
          </w:tcPr>
          <w:p w:rsidR="00F34386" w:rsidRPr="00117748" w:rsidRDefault="00F34386" w:rsidP="00F34386">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F34386">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F34386">
            <w:pPr>
              <w:spacing w:line="276" w:lineRule="auto"/>
              <w:rPr>
                <w:rFonts w:ascii="Garamond" w:hAnsi="Garamond" w:cstheme="minorHAnsi"/>
                <w:szCs w:val="22"/>
              </w:rPr>
            </w:pPr>
            <w:r w:rsidRPr="00117748">
              <w:rPr>
                <w:rFonts w:ascii="Garamond" w:hAnsi="Garamond" w:cstheme="minorHAnsi"/>
                <w:sz w:val="22"/>
                <w:szCs w:val="22"/>
              </w:rPr>
              <w:t xml:space="preserve">   No</w:t>
            </w:r>
          </w:p>
        </w:tc>
        <w:tc>
          <w:tcPr>
            <w:tcW w:w="0" w:type="auto"/>
            <w:tcBorders>
              <w:top w:val="nil"/>
              <w:left w:val="nil"/>
              <w:bottom w:val="nil"/>
              <w:right w:val="nil"/>
            </w:tcBorders>
          </w:tcPr>
          <w:p w:rsidR="00F34386" w:rsidRPr="00117748" w:rsidRDefault="00F34386" w:rsidP="00F34386">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F34386">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F34386">
            <w:pPr>
              <w:spacing w:line="276" w:lineRule="auto"/>
              <w:rPr>
                <w:rFonts w:ascii="Garamond" w:hAnsi="Garamond" w:cstheme="minorHAnsi"/>
                <w:szCs w:val="22"/>
              </w:rPr>
            </w:pPr>
            <w:r w:rsidRPr="00117748">
              <w:rPr>
                <w:rFonts w:ascii="Garamond" w:hAnsi="Garamond" w:cstheme="minorHAnsi"/>
                <w:sz w:val="22"/>
                <w:szCs w:val="22"/>
              </w:rPr>
              <w:t xml:space="preserve">   Unknown</w:t>
            </w:r>
          </w:p>
        </w:tc>
        <w:tc>
          <w:tcPr>
            <w:tcW w:w="0" w:type="auto"/>
            <w:tcBorders>
              <w:top w:val="nil"/>
              <w:left w:val="nil"/>
              <w:bottom w:val="nil"/>
              <w:right w:val="nil"/>
            </w:tcBorders>
          </w:tcPr>
          <w:p w:rsidR="00F34386" w:rsidRPr="00117748" w:rsidRDefault="00F34386" w:rsidP="00F34386">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F34386">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before="120" w:line="276" w:lineRule="auto"/>
              <w:rPr>
                <w:rFonts w:ascii="Garamond" w:hAnsi="Garamond" w:cstheme="minorHAnsi"/>
                <w:szCs w:val="22"/>
              </w:rPr>
            </w:pPr>
            <w:r w:rsidRPr="00117748">
              <w:rPr>
                <w:rFonts w:ascii="Garamond" w:hAnsi="Garamond" w:cstheme="minorHAnsi"/>
                <w:sz w:val="22"/>
                <w:szCs w:val="22"/>
              </w:rPr>
              <w:t>Maternal length of education</w:t>
            </w:r>
          </w:p>
        </w:tc>
        <w:tc>
          <w:tcPr>
            <w:tcW w:w="0" w:type="auto"/>
            <w:tcBorders>
              <w:top w:val="nil"/>
              <w:left w:val="nil"/>
              <w:bottom w:val="nil"/>
              <w:right w:val="nil"/>
            </w:tcBorders>
          </w:tcPr>
          <w:p w:rsidR="00F34386" w:rsidRPr="00117748" w:rsidRDefault="00F34386" w:rsidP="00364A2E">
            <w:pPr>
              <w:spacing w:before="120"/>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spacing w:before="120"/>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 xml:space="preserve">  7-10 years</w:t>
            </w: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 xml:space="preserve">  11-12 years</w:t>
            </w: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 xml:space="preserve">   ≥13 years</w:t>
            </w: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r>
      <w:tr w:rsidR="00790270" w:rsidRPr="00EC3DB5" w:rsidTr="00DA73FD">
        <w:trPr>
          <w:cantSplit/>
        </w:trPr>
        <w:tc>
          <w:tcPr>
            <w:tcW w:w="0" w:type="auto"/>
            <w:tcBorders>
              <w:top w:val="nil"/>
              <w:left w:val="nil"/>
              <w:bottom w:val="nil"/>
              <w:right w:val="nil"/>
            </w:tcBorders>
          </w:tcPr>
          <w:p w:rsidR="00790270" w:rsidRPr="00117748" w:rsidRDefault="00790270" w:rsidP="00364A2E">
            <w:pPr>
              <w:spacing w:line="276" w:lineRule="auto"/>
              <w:rPr>
                <w:rFonts w:ascii="Garamond" w:hAnsi="Garamond" w:cstheme="minorHAnsi"/>
                <w:szCs w:val="22"/>
              </w:rPr>
            </w:pPr>
            <w:r w:rsidRPr="00117748">
              <w:rPr>
                <w:rFonts w:ascii="Garamond" w:hAnsi="Garamond" w:cstheme="minorHAnsi"/>
                <w:sz w:val="22"/>
                <w:szCs w:val="22"/>
              </w:rPr>
              <w:t xml:space="preserve">   </w:t>
            </w:r>
            <w:proofErr w:type="spellStart"/>
            <w:r w:rsidRPr="00117748">
              <w:rPr>
                <w:rFonts w:ascii="Garamond" w:hAnsi="Garamond" w:cstheme="minorHAnsi"/>
                <w:sz w:val="22"/>
                <w:szCs w:val="22"/>
              </w:rPr>
              <w:t>Unkown</w:t>
            </w:r>
            <w:proofErr w:type="spellEnd"/>
          </w:p>
        </w:tc>
        <w:tc>
          <w:tcPr>
            <w:tcW w:w="0" w:type="auto"/>
            <w:tcBorders>
              <w:top w:val="nil"/>
              <w:left w:val="nil"/>
              <w:bottom w:val="nil"/>
              <w:right w:val="nil"/>
            </w:tcBorders>
          </w:tcPr>
          <w:p w:rsidR="00790270" w:rsidRPr="00117748" w:rsidRDefault="00790270" w:rsidP="00364A2E">
            <w:pPr>
              <w:jc w:val="center"/>
              <w:rPr>
                <w:rFonts w:ascii="Garamond" w:hAnsi="Garamond" w:cstheme="minorHAnsi"/>
                <w:szCs w:val="22"/>
              </w:rPr>
            </w:pPr>
          </w:p>
        </w:tc>
        <w:tc>
          <w:tcPr>
            <w:tcW w:w="0" w:type="auto"/>
            <w:tcBorders>
              <w:top w:val="nil"/>
              <w:left w:val="nil"/>
              <w:bottom w:val="nil"/>
              <w:right w:val="nil"/>
            </w:tcBorders>
          </w:tcPr>
          <w:p w:rsidR="00790270" w:rsidRPr="00117748" w:rsidRDefault="00790270" w:rsidP="00364A2E">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before="120" w:line="276" w:lineRule="auto"/>
              <w:rPr>
                <w:rFonts w:ascii="Garamond" w:hAnsi="Garamond" w:cstheme="minorHAnsi"/>
                <w:szCs w:val="22"/>
              </w:rPr>
            </w:pPr>
            <w:r w:rsidRPr="00117748">
              <w:rPr>
                <w:rFonts w:ascii="Garamond" w:hAnsi="Garamond" w:cstheme="minorHAnsi"/>
                <w:sz w:val="22"/>
                <w:szCs w:val="22"/>
              </w:rPr>
              <w:t>Drug exposure*</w:t>
            </w:r>
            <w:r w:rsidR="00790270" w:rsidRPr="00117748">
              <w:rPr>
                <w:rFonts w:ascii="Garamond" w:hAnsi="Garamond" w:cstheme="minorHAnsi"/>
                <w:sz w:val="22"/>
                <w:szCs w:val="22"/>
              </w:rPr>
              <w:t>*</w:t>
            </w:r>
          </w:p>
        </w:tc>
        <w:tc>
          <w:tcPr>
            <w:tcW w:w="0" w:type="auto"/>
            <w:tcBorders>
              <w:top w:val="nil"/>
              <w:left w:val="nil"/>
              <w:bottom w:val="nil"/>
              <w:right w:val="nil"/>
            </w:tcBorders>
          </w:tcPr>
          <w:p w:rsidR="00F34386" w:rsidRPr="00117748" w:rsidRDefault="00F34386" w:rsidP="00364A2E">
            <w:pPr>
              <w:spacing w:before="120"/>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spacing w:before="120"/>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 xml:space="preserve">   Antipsychotics</w:t>
            </w: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 xml:space="preserve">   Antidepressants</w:t>
            </w: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 xml:space="preserve">   Anxiolytics</w:t>
            </w: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 xml:space="preserve">   NSAIDs</w:t>
            </w: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r w:rsidRPr="00117748">
              <w:rPr>
                <w:rFonts w:ascii="Garamond" w:hAnsi="Garamond" w:cstheme="minorHAnsi"/>
                <w:sz w:val="22"/>
                <w:szCs w:val="22"/>
              </w:rPr>
              <w:t xml:space="preserve"> </w:t>
            </w: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shd w:val="clear" w:color="auto" w:fill="auto"/>
          </w:tcPr>
          <w:p w:rsidR="00F34386" w:rsidRPr="00117748" w:rsidRDefault="00F34386" w:rsidP="00453256">
            <w:pPr>
              <w:spacing w:before="120" w:line="276" w:lineRule="auto"/>
              <w:rPr>
                <w:rFonts w:ascii="Garamond" w:hAnsi="Garamond" w:cstheme="minorHAnsi"/>
                <w:szCs w:val="22"/>
              </w:rPr>
            </w:pPr>
            <w:r w:rsidRPr="00117748">
              <w:rPr>
                <w:rFonts w:ascii="Garamond" w:hAnsi="Garamond" w:cstheme="minorHAnsi"/>
                <w:sz w:val="22"/>
                <w:szCs w:val="22"/>
              </w:rPr>
              <w:t>Gestational age at birth, mean (CI)</w:t>
            </w:r>
          </w:p>
        </w:tc>
        <w:tc>
          <w:tcPr>
            <w:tcW w:w="0" w:type="auto"/>
            <w:tcBorders>
              <w:top w:val="nil"/>
              <w:left w:val="nil"/>
              <w:bottom w:val="nil"/>
              <w:right w:val="nil"/>
            </w:tcBorders>
            <w:shd w:val="clear" w:color="auto" w:fill="auto"/>
          </w:tcPr>
          <w:p w:rsidR="00F34386" w:rsidRPr="00117748" w:rsidRDefault="00F34386" w:rsidP="00453256">
            <w:pPr>
              <w:spacing w:before="120"/>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453256">
            <w:pPr>
              <w:spacing w:before="120"/>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shd w:val="clear" w:color="auto" w:fill="auto"/>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Birth weight, mean (CI)</w:t>
            </w:r>
          </w:p>
        </w:tc>
        <w:tc>
          <w:tcPr>
            <w:tcW w:w="0" w:type="auto"/>
            <w:tcBorders>
              <w:top w:val="nil"/>
              <w:left w:val="nil"/>
              <w:bottom w:val="nil"/>
              <w:right w:val="nil"/>
            </w:tcBorders>
            <w:shd w:val="clear" w:color="auto" w:fill="auto"/>
          </w:tcPr>
          <w:p w:rsidR="00F34386" w:rsidRPr="00117748" w:rsidRDefault="00F34386" w:rsidP="00364A2E">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shd w:val="clear" w:color="auto" w:fill="auto"/>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Low Apgar score**</w:t>
            </w:r>
            <w:r w:rsidR="00790270" w:rsidRPr="00117748">
              <w:rPr>
                <w:rFonts w:ascii="Garamond" w:hAnsi="Garamond" w:cstheme="minorHAnsi"/>
                <w:sz w:val="22"/>
                <w:szCs w:val="22"/>
              </w:rPr>
              <w:t>*</w:t>
            </w:r>
            <w:r w:rsidRPr="00117748">
              <w:rPr>
                <w:rFonts w:ascii="Garamond" w:hAnsi="Garamond" w:cstheme="minorHAnsi"/>
                <w:sz w:val="22"/>
                <w:szCs w:val="22"/>
              </w:rPr>
              <w:t xml:space="preserve"> </w:t>
            </w:r>
          </w:p>
        </w:tc>
        <w:tc>
          <w:tcPr>
            <w:tcW w:w="0" w:type="auto"/>
            <w:tcBorders>
              <w:top w:val="nil"/>
              <w:left w:val="nil"/>
              <w:bottom w:val="nil"/>
              <w:right w:val="nil"/>
            </w:tcBorders>
            <w:shd w:val="clear" w:color="auto" w:fill="auto"/>
          </w:tcPr>
          <w:p w:rsidR="00F34386" w:rsidRPr="00117748" w:rsidRDefault="00F34386" w:rsidP="00364A2E">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364A2E">
            <w:pPr>
              <w:spacing w:before="120" w:line="276" w:lineRule="auto"/>
              <w:rPr>
                <w:rFonts w:ascii="Garamond" w:hAnsi="Garamond" w:cstheme="minorHAnsi"/>
                <w:szCs w:val="22"/>
              </w:rPr>
            </w:pPr>
            <w:r w:rsidRPr="00117748">
              <w:rPr>
                <w:rFonts w:ascii="Garamond" w:hAnsi="Garamond" w:cstheme="minorHAnsi"/>
                <w:sz w:val="22"/>
                <w:szCs w:val="22"/>
              </w:rPr>
              <w:t>Endpoints</w:t>
            </w:r>
          </w:p>
        </w:tc>
        <w:tc>
          <w:tcPr>
            <w:tcW w:w="0" w:type="auto"/>
            <w:tcBorders>
              <w:top w:val="nil"/>
              <w:left w:val="nil"/>
              <w:bottom w:val="nil"/>
              <w:right w:val="nil"/>
            </w:tcBorders>
          </w:tcPr>
          <w:p w:rsidR="00F34386" w:rsidRPr="00117748" w:rsidRDefault="00F34386" w:rsidP="00364A2E">
            <w:pPr>
              <w:spacing w:before="120"/>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364A2E">
            <w:pPr>
              <w:spacing w:before="120"/>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0C382F">
            <w:pPr>
              <w:spacing w:line="276" w:lineRule="auto"/>
              <w:rPr>
                <w:rFonts w:ascii="Garamond" w:hAnsi="Garamond" w:cstheme="minorHAnsi"/>
                <w:szCs w:val="22"/>
              </w:rPr>
            </w:pPr>
            <w:r w:rsidRPr="00117748">
              <w:rPr>
                <w:rFonts w:ascii="Garamond" w:hAnsi="Garamond" w:cstheme="minorHAnsi"/>
                <w:sz w:val="22"/>
                <w:szCs w:val="22"/>
              </w:rPr>
              <w:t xml:space="preserve">   Major malformations</w:t>
            </w:r>
          </w:p>
        </w:tc>
        <w:tc>
          <w:tcPr>
            <w:tcW w:w="0" w:type="auto"/>
            <w:tcBorders>
              <w:top w:val="nil"/>
              <w:left w:val="nil"/>
              <w:bottom w:val="nil"/>
              <w:right w:val="nil"/>
            </w:tcBorders>
          </w:tcPr>
          <w:p w:rsidR="00F34386" w:rsidRPr="00117748" w:rsidRDefault="00F34386" w:rsidP="00D520C2">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D520C2">
            <w:pPr>
              <w:jc w:val="center"/>
              <w:rPr>
                <w:rFonts w:ascii="Garamond" w:hAnsi="Garamond" w:cstheme="minorHAnsi"/>
                <w:szCs w:val="22"/>
              </w:rPr>
            </w:pPr>
          </w:p>
        </w:tc>
      </w:tr>
      <w:tr w:rsidR="00F34386" w:rsidRPr="00EC3DB5" w:rsidTr="00DA73FD">
        <w:trPr>
          <w:cantSplit/>
        </w:trPr>
        <w:tc>
          <w:tcPr>
            <w:tcW w:w="0" w:type="auto"/>
            <w:tcBorders>
              <w:top w:val="nil"/>
              <w:left w:val="nil"/>
              <w:bottom w:val="nil"/>
              <w:right w:val="nil"/>
            </w:tcBorders>
          </w:tcPr>
          <w:p w:rsidR="00F34386" w:rsidRPr="00117748" w:rsidRDefault="00F34386" w:rsidP="000C382F">
            <w:pPr>
              <w:spacing w:line="276" w:lineRule="auto"/>
              <w:rPr>
                <w:rFonts w:ascii="Garamond" w:hAnsi="Garamond" w:cstheme="minorHAnsi"/>
                <w:szCs w:val="22"/>
              </w:rPr>
            </w:pPr>
            <w:r w:rsidRPr="00117748">
              <w:rPr>
                <w:rFonts w:ascii="Garamond" w:hAnsi="Garamond" w:cstheme="minorHAnsi"/>
                <w:sz w:val="22"/>
                <w:szCs w:val="22"/>
              </w:rPr>
              <w:t xml:space="preserve">   Cardiac malformations</w:t>
            </w:r>
          </w:p>
        </w:tc>
        <w:tc>
          <w:tcPr>
            <w:tcW w:w="0" w:type="auto"/>
            <w:tcBorders>
              <w:top w:val="nil"/>
              <w:left w:val="nil"/>
              <w:bottom w:val="nil"/>
              <w:right w:val="nil"/>
            </w:tcBorders>
          </w:tcPr>
          <w:p w:rsidR="00F34386" w:rsidRPr="00117748" w:rsidRDefault="00F34386" w:rsidP="00D520C2">
            <w:pPr>
              <w:jc w:val="center"/>
              <w:rPr>
                <w:rFonts w:ascii="Garamond" w:hAnsi="Garamond" w:cstheme="minorHAnsi"/>
                <w:szCs w:val="22"/>
              </w:rPr>
            </w:pPr>
          </w:p>
        </w:tc>
        <w:tc>
          <w:tcPr>
            <w:tcW w:w="0" w:type="auto"/>
            <w:tcBorders>
              <w:top w:val="nil"/>
              <w:left w:val="nil"/>
              <w:bottom w:val="nil"/>
              <w:right w:val="nil"/>
            </w:tcBorders>
          </w:tcPr>
          <w:p w:rsidR="00F34386" w:rsidRPr="00117748" w:rsidRDefault="00F34386" w:rsidP="00D520C2">
            <w:pPr>
              <w:jc w:val="center"/>
              <w:rPr>
                <w:rFonts w:ascii="Garamond" w:hAnsi="Garamond" w:cstheme="minorHAnsi"/>
                <w:szCs w:val="22"/>
              </w:rPr>
            </w:pPr>
          </w:p>
        </w:tc>
      </w:tr>
      <w:tr w:rsidR="00F34386" w:rsidRPr="00EC3DB5" w:rsidTr="00364A2E">
        <w:trPr>
          <w:cantSplit/>
        </w:trPr>
        <w:tc>
          <w:tcPr>
            <w:tcW w:w="0" w:type="auto"/>
            <w:gridSpan w:val="3"/>
            <w:tcBorders>
              <w:top w:val="single" w:sz="4" w:space="0" w:color="auto"/>
              <w:left w:val="nil"/>
              <w:bottom w:val="nil"/>
              <w:right w:val="nil"/>
            </w:tcBorders>
          </w:tcPr>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IQR = Interquartile range; CI = confidence interval</w:t>
            </w:r>
          </w:p>
          <w:p w:rsidR="00117748" w:rsidRPr="00117748" w:rsidRDefault="00117748" w:rsidP="00364A2E">
            <w:pPr>
              <w:spacing w:line="276" w:lineRule="auto"/>
              <w:rPr>
                <w:rFonts w:ascii="Garamond" w:hAnsi="Garamond" w:cstheme="minorHAnsi"/>
                <w:szCs w:val="22"/>
              </w:rPr>
            </w:pPr>
            <w:r w:rsidRPr="00117748">
              <w:rPr>
                <w:rFonts w:ascii="Garamond" w:hAnsi="Garamond" w:cstheme="minorHAnsi"/>
                <w:sz w:val="22"/>
                <w:szCs w:val="22"/>
              </w:rPr>
              <w:t>* xx (xx%) missing values.</w:t>
            </w:r>
          </w:p>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w:t>
            </w:r>
            <w:r w:rsidR="00117748" w:rsidRPr="00117748">
              <w:rPr>
                <w:rFonts w:ascii="Garamond" w:hAnsi="Garamond" w:cstheme="minorHAnsi"/>
                <w:sz w:val="22"/>
                <w:szCs w:val="22"/>
              </w:rPr>
              <w:t>*</w:t>
            </w:r>
            <w:r w:rsidRPr="00117748">
              <w:rPr>
                <w:rFonts w:ascii="Garamond" w:hAnsi="Garamond" w:cstheme="minorHAnsi"/>
                <w:sz w:val="22"/>
                <w:szCs w:val="22"/>
              </w:rPr>
              <w:t xml:space="preserve"> Defined as having </w:t>
            </w:r>
            <w:r w:rsidR="004A207D">
              <w:rPr>
                <w:rFonts w:ascii="Garamond" w:hAnsi="Garamond" w:cstheme="minorHAnsi"/>
                <w:sz w:val="22"/>
                <w:szCs w:val="22"/>
              </w:rPr>
              <w:t>redeemed</w:t>
            </w:r>
            <w:r w:rsidRPr="00117748">
              <w:rPr>
                <w:rFonts w:ascii="Garamond" w:hAnsi="Garamond" w:cstheme="minorHAnsi"/>
                <w:sz w:val="22"/>
                <w:szCs w:val="22"/>
              </w:rPr>
              <w:t xml:space="preserve"> ≥1 prescription within 40 days prior </w:t>
            </w:r>
            <w:r w:rsidRPr="00117748">
              <w:rPr>
                <w:rFonts w:ascii="Garamond" w:hAnsi="Garamond" w:cstheme="minorHAnsi"/>
                <w:sz w:val="22"/>
                <w:szCs w:val="22"/>
              </w:rPr>
              <w:br/>
              <w:t>to the first trimester up to the end of the first trimester</w:t>
            </w:r>
          </w:p>
          <w:p w:rsidR="00F34386" w:rsidRPr="00117748" w:rsidRDefault="00F34386" w:rsidP="00364A2E">
            <w:pPr>
              <w:spacing w:line="276" w:lineRule="auto"/>
              <w:rPr>
                <w:rFonts w:ascii="Garamond" w:hAnsi="Garamond" w:cstheme="minorHAnsi"/>
                <w:szCs w:val="22"/>
              </w:rPr>
            </w:pPr>
            <w:r w:rsidRPr="00117748">
              <w:rPr>
                <w:rFonts w:ascii="Garamond" w:hAnsi="Garamond" w:cstheme="minorHAnsi"/>
                <w:sz w:val="22"/>
                <w:szCs w:val="22"/>
              </w:rPr>
              <w:t>**</w:t>
            </w:r>
            <w:r w:rsidR="00117748" w:rsidRPr="00117748">
              <w:rPr>
                <w:rFonts w:ascii="Garamond" w:hAnsi="Garamond" w:cstheme="minorHAnsi"/>
                <w:sz w:val="22"/>
                <w:szCs w:val="22"/>
              </w:rPr>
              <w:t>*</w:t>
            </w:r>
            <w:r w:rsidRPr="00117748">
              <w:rPr>
                <w:rFonts w:ascii="Garamond" w:hAnsi="Garamond" w:cstheme="minorHAnsi"/>
                <w:sz w:val="22"/>
                <w:szCs w:val="22"/>
              </w:rPr>
              <w:t xml:space="preserve"> Defined as Apgar &lt; 7 after 5 min</w:t>
            </w:r>
          </w:p>
        </w:tc>
      </w:tr>
    </w:tbl>
    <w:p w:rsidR="009F449D" w:rsidRPr="00EC3DB5" w:rsidRDefault="009F449D">
      <w:pPr>
        <w:spacing w:after="200" w:line="276" w:lineRule="auto"/>
        <w:rPr>
          <w:rFonts w:ascii="Garamond" w:hAnsi="Garamond" w:cstheme="minorHAnsi"/>
          <w:sz w:val="22"/>
        </w:rPr>
      </w:pPr>
      <w:r w:rsidRPr="00EC3DB5">
        <w:rPr>
          <w:rFonts w:ascii="Garamond" w:hAnsi="Garamond" w:cstheme="minorHAnsi"/>
          <w:sz w:val="22"/>
        </w:rPr>
        <w:br w:type="page"/>
      </w:r>
    </w:p>
    <w:p w:rsidR="00C7487B" w:rsidRDefault="00C41742" w:rsidP="006C49AA">
      <w:pPr>
        <w:spacing w:line="276" w:lineRule="auto"/>
        <w:jc w:val="both"/>
        <w:rPr>
          <w:rFonts w:ascii="Garamond" w:hAnsi="Garamond" w:cstheme="minorHAnsi"/>
          <w:b/>
          <w:szCs w:val="24"/>
        </w:rPr>
      </w:pPr>
      <w:r w:rsidRPr="00EC3DB5">
        <w:rPr>
          <w:rFonts w:ascii="Garamond" w:hAnsi="Garamond" w:cstheme="minorHAnsi"/>
          <w:b/>
          <w:szCs w:val="24"/>
        </w:rPr>
        <w:lastRenderedPageBreak/>
        <w:t xml:space="preserve">Table </w:t>
      </w:r>
      <w:r w:rsidR="009F449D" w:rsidRPr="00EC3DB5">
        <w:rPr>
          <w:rFonts w:ascii="Garamond" w:hAnsi="Garamond" w:cstheme="minorHAnsi"/>
          <w:b/>
          <w:szCs w:val="24"/>
        </w:rPr>
        <w:t>2</w:t>
      </w:r>
      <w:r w:rsidRPr="00EC3DB5">
        <w:rPr>
          <w:rFonts w:ascii="Garamond" w:hAnsi="Garamond" w:cstheme="minorHAnsi"/>
          <w:b/>
          <w:szCs w:val="24"/>
        </w:rPr>
        <w:t xml:space="preserve">: </w:t>
      </w:r>
      <w:r w:rsidR="003A6647">
        <w:rPr>
          <w:rFonts w:ascii="Garamond" w:hAnsi="Garamond" w:cstheme="minorHAnsi"/>
          <w:b/>
          <w:szCs w:val="24"/>
        </w:rPr>
        <w:t xml:space="preserve">Fetal outcomes and Prevalence Proportion Rates (PPR) </w:t>
      </w:r>
      <w:r w:rsidR="00591221">
        <w:rPr>
          <w:rFonts w:ascii="Garamond" w:hAnsi="Garamond" w:cstheme="minorHAnsi"/>
          <w:b/>
          <w:szCs w:val="24"/>
        </w:rPr>
        <w:tab/>
      </w:r>
      <w:r w:rsidR="00591221">
        <w:rPr>
          <w:rFonts w:ascii="Garamond" w:hAnsi="Garamond" w:cstheme="minorHAnsi"/>
          <w:b/>
          <w:szCs w:val="24"/>
        </w:rPr>
        <w:br/>
        <w:t>comparing</w:t>
      </w:r>
      <w:r w:rsidR="006C49AA">
        <w:rPr>
          <w:rFonts w:ascii="Garamond" w:hAnsi="Garamond" w:cstheme="minorHAnsi"/>
          <w:b/>
          <w:szCs w:val="24"/>
        </w:rPr>
        <w:t xml:space="preserve"> </w:t>
      </w:r>
      <w:r w:rsidR="00591221">
        <w:rPr>
          <w:rFonts w:ascii="Garamond" w:hAnsi="Garamond" w:cstheme="minorHAnsi"/>
          <w:b/>
          <w:szCs w:val="24"/>
        </w:rPr>
        <w:t xml:space="preserve">the exposed to the unexposed </w:t>
      </w:r>
      <w:r w:rsidR="009A1934">
        <w:rPr>
          <w:rFonts w:ascii="Garamond" w:hAnsi="Garamond" w:cstheme="minorHAnsi"/>
          <w:b/>
          <w:szCs w:val="24"/>
        </w:rPr>
        <w:t>cohort, overall and by subgroup.</w:t>
      </w:r>
    </w:p>
    <w:tbl>
      <w:tblPr>
        <w:tblStyle w:val="Tabel-Gitter"/>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1629"/>
        <w:gridCol w:w="1630"/>
        <w:gridCol w:w="1630"/>
      </w:tblGrid>
      <w:tr w:rsidR="009F449D" w:rsidRPr="00EC3DB5" w:rsidTr="00622F8D">
        <w:trPr>
          <w:trHeight w:val="480"/>
        </w:trPr>
        <w:tc>
          <w:tcPr>
            <w:tcW w:w="3164" w:type="dxa"/>
            <w:tcBorders>
              <w:top w:val="single" w:sz="4" w:space="0" w:color="auto"/>
              <w:bottom w:val="single" w:sz="4" w:space="0" w:color="auto"/>
            </w:tcBorders>
            <w:vAlign w:val="center"/>
          </w:tcPr>
          <w:p w:rsidR="009F449D" w:rsidRPr="00EC3DB5" w:rsidRDefault="00622F8D" w:rsidP="00622F8D">
            <w:pPr>
              <w:spacing w:line="276" w:lineRule="auto"/>
              <w:rPr>
                <w:rFonts w:ascii="Garamond" w:hAnsi="Garamond" w:cstheme="minorHAnsi"/>
                <w:b/>
                <w:szCs w:val="24"/>
              </w:rPr>
            </w:pPr>
            <w:r>
              <w:rPr>
                <w:rFonts w:ascii="Garamond" w:hAnsi="Garamond" w:cstheme="minorHAnsi"/>
                <w:b/>
                <w:szCs w:val="24"/>
              </w:rPr>
              <w:t>Sub-group</w:t>
            </w:r>
          </w:p>
        </w:tc>
        <w:tc>
          <w:tcPr>
            <w:tcW w:w="1629" w:type="dxa"/>
            <w:tcBorders>
              <w:top w:val="single" w:sz="4" w:space="0" w:color="auto"/>
              <w:bottom w:val="single" w:sz="4" w:space="0" w:color="auto"/>
            </w:tcBorders>
            <w:vAlign w:val="center"/>
          </w:tcPr>
          <w:p w:rsidR="00622F8D" w:rsidRDefault="00622F8D" w:rsidP="00622F8D">
            <w:pPr>
              <w:spacing w:line="276" w:lineRule="auto"/>
              <w:jc w:val="center"/>
              <w:rPr>
                <w:rFonts w:ascii="Garamond" w:hAnsi="Garamond" w:cstheme="minorHAnsi"/>
                <w:b/>
                <w:szCs w:val="24"/>
              </w:rPr>
            </w:pPr>
            <w:r>
              <w:rPr>
                <w:rFonts w:ascii="Garamond" w:hAnsi="Garamond" w:cstheme="minorHAnsi"/>
                <w:b/>
                <w:szCs w:val="24"/>
              </w:rPr>
              <w:t xml:space="preserve">Exposed </w:t>
            </w:r>
          </w:p>
          <w:p w:rsidR="009F449D" w:rsidRPr="00622F8D" w:rsidRDefault="00622F8D" w:rsidP="00622F8D">
            <w:pPr>
              <w:spacing w:line="276" w:lineRule="auto"/>
              <w:jc w:val="center"/>
              <w:rPr>
                <w:rFonts w:ascii="Garamond" w:hAnsi="Garamond" w:cstheme="minorHAnsi"/>
                <w:szCs w:val="24"/>
              </w:rPr>
            </w:pPr>
            <w:r w:rsidRPr="00622F8D">
              <w:rPr>
                <w:rFonts w:ascii="Garamond" w:hAnsi="Garamond" w:cstheme="minorHAnsi"/>
                <w:szCs w:val="24"/>
              </w:rPr>
              <w:t>Events / no. pregnancies</w:t>
            </w:r>
          </w:p>
        </w:tc>
        <w:tc>
          <w:tcPr>
            <w:tcW w:w="1630" w:type="dxa"/>
            <w:tcBorders>
              <w:top w:val="single" w:sz="4" w:space="0" w:color="auto"/>
              <w:bottom w:val="single" w:sz="4" w:space="0" w:color="auto"/>
            </w:tcBorders>
            <w:vAlign w:val="center"/>
          </w:tcPr>
          <w:p w:rsidR="00622F8D" w:rsidRDefault="00622F8D" w:rsidP="00622F8D">
            <w:pPr>
              <w:spacing w:line="276" w:lineRule="auto"/>
              <w:jc w:val="center"/>
              <w:rPr>
                <w:rFonts w:ascii="Garamond" w:hAnsi="Garamond" w:cstheme="minorHAnsi"/>
                <w:b/>
                <w:szCs w:val="24"/>
              </w:rPr>
            </w:pPr>
            <w:r>
              <w:rPr>
                <w:rFonts w:ascii="Garamond" w:hAnsi="Garamond" w:cstheme="minorHAnsi"/>
                <w:b/>
                <w:szCs w:val="24"/>
              </w:rPr>
              <w:t xml:space="preserve">Unexposed </w:t>
            </w:r>
          </w:p>
          <w:p w:rsidR="009F449D" w:rsidRPr="00622F8D" w:rsidRDefault="00622F8D" w:rsidP="00622F8D">
            <w:pPr>
              <w:spacing w:line="276" w:lineRule="auto"/>
              <w:jc w:val="center"/>
              <w:rPr>
                <w:rFonts w:ascii="Garamond" w:hAnsi="Garamond" w:cstheme="minorHAnsi"/>
                <w:szCs w:val="24"/>
              </w:rPr>
            </w:pPr>
            <w:r w:rsidRPr="00622F8D">
              <w:rPr>
                <w:rFonts w:ascii="Garamond" w:hAnsi="Garamond" w:cstheme="minorHAnsi"/>
                <w:szCs w:val="24"/>
              </w:rPr>
              <w:t>Events / no. pregnancies</w:t>
            </w:r>
          </w:p>
        </w:tc>
        <w:tc>
          <w:tcPr>
            <w:tcW w:w="1630" w:type="dxa"/>
            <w:tcBorders>
              <w:top w:val="single" w:sz="4" w:space="0" w:color="auto"/>
              <w:bottom w:val="single" w:sz="4" w:space="0" w:color="auto"/>
            </w:tcBorders>
            <w:vAlign w:val="center"/>
          </w:tcPr>
          <w:p w:rsidR="009F449D" w:rsidRPr="00EC3DB5" w:rsidRDefault="009366DA" w:rsidP="009F449D">
            <w:pPr>
              <w:spacing w:line="276" w:lineRule="auto"/>
              <w:jc w:val="center"/>
              <w:rPr>
                <w:rFonts w:ascii="Garamond" w:hAnsi="Garamond" w:cstheme="minorHAnsi"/>
                <w:b/>
                <w:szCs w:val="24"/>
              </w:rPr>
            </w:pPr>
            <w:r>
              <w:rPr>
                <w:rFonts w:ascii="Garamond" w:hAnsi="Garamond" w:cstheme="minorHAnsi"/>
                <w:b/>
                <w:szCs w:val="24"/>
              </w:rPr>
              <w:t>PPR</w:t>
            </w:r>
            <w:r w:rsidR="009F449D" w:rsidRPr="00EC3DB5">
              <w:rPr>
                <w:rFonts w:ascii="Garamond" w:hAnsi="Garamond" w:cstheme="minorHAnsi"/>
                <w:b/>
                <w:szCs w:val="24"/>
              </w:rPr>
              <w:t xml:space="preserve"> (95% CI)</w:t>
            </w:r>
          </w:p>
        </w:tc>
      </w:tr>
      <w:tr w:rsidR="009F449D" w:rsidRPr="00EC3DB5" w:rsidTr="00622F8D">
        <w:tc>
          <w:tcPr>
            <w:tcW w:w="3164" w:type="dxa"/>
            <w:tcBorders>
              <w:top w:val="single" w:sz="4" w:space="0" w:color="auto"/>
              <w:bottom w:val="nil"/>
            </w:tcBorders>
            <w:vAlign w:val="center"/>
          </w:tcPr>
          <w:p w:rsidR="009F449D" w:rsidRPr="00EC3DB5" w:rsidRDefault="00622F8D" w:rsidP="00622F8D">
            <w:pPr>
              <w:spacing w:before="120" w:line="276" w:lineRule="auto"/>
              <w:rPr>
                <w:rFonts w:ascii="Garamond" w:hAnsi="Garamond" w:cstheme="minorHAnsi"/>
                <w:szCs w:val="24"/>
              </w:rPr>
            </w:pPr>
            <w:r>
              <w:rPr>
                <w:rFonts w:ascii="Garamond" w:hAnsi="Garamond" w:cstheme="minorHAnsi"/>
                <w:szCs w:val="24"/>
              </w:rPr>
              <w:t xml:space="preserve">All </w:t>
            </w:r>
          </w:p>
        </w:tc>
        <w:tc>
          <w:tcPr>
            <w:tcW w:w="1629" w:type="dxa"/>
            <w:tcBorders>
              <w:top w:val="single" w:sz="4" w:space="0" w:color="auto"/>
              <w:bottom w:val="nil"/>
            </w:tcBorders>
            <w:vAlign w:val="center"/>
          </w:tcPr>
          <w:p w:rsidR="009F449D" w:rsidRPr="00EC3DB5" w:rsidRDefault="009F449D" w:rsidP="00622F8D">
            <w:pPr>
              <w:spacing w:before="120" w:line="276" w:lineRule="auto"/>
              <w:jc w:val="center"/>
              <w:rPr>
                <w:rFonts w:ascii="Garamond" w:hAnsi="Garamond" w:cstheme="minorHAnsi"/>
                <w:szCs w:val="24"/>
              </w:rPr>
            </w:pPr>
          </w:p>
        </w:tc>
        <w:tc>
          <w:tcPr>
            <w:tcW w:w="1630" w:type="dxa"/>
            <w:tcBorders>
              <w:top w:val="single" w:sz="4" w:space="0" w:color="auto"/>
              <w:bottom w:val="nil"/>
            </w:tcBorders>
            <w:vAlign w:val="center"/>
          </w:tcPr>
          <w:p w:rsidR="00FF78D7" w:rsidRPr="00EC3DB5" w:rsidRDefault="00FF78D7" w:rsidP="00622F8D">
            <w:pPr>
              <w:spacing w:before="120" w:line="276" w:lineRule="auto"/>
              <w:rPr>
                <w:rFonts w:ascii="Garamond" w:hAnsi="Garamond" w:cstheme="minorHAnsi"/>
                <w:szCs w:val="24"/>
              </w:rPr>
            </w:pPr>
          </w:p>
        </w:tc>
        <w:tc>
          <w:tcPr>
            <w:tcW w:w="1630" w:type="dxa"/>
            <w:tcBorders>
              <w:top w:val="single" w:sz="4" w:space="0" w:color="auto"/>
              <w:bottom w:val="nil"/>
            </w:tcBorders>
            <w:vAlign w:val="center"/>
          </w:tcPr>
          <w:p w:rsidR="009F449D" w:rsidRPr="00EC3DB5" w:rsidRDefault="009F449D" w:rsidP="00622F8D">
            <w:pPr>
              <w:spacing w:before="120" w:line="276" w:lineRule="auto"/>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Default="00622F8D" w:rsidP="00622F8D">
            <w:pPr>
              <w:spacing w:line="276" w:lineRule="auto"/>
              <w:rPr>
                <w:rFonts w:ascii="Garamond" w:hAnsi="Garamond" w:cstheme="minorHAnsi"/>
                <w:szCs w:val="24"/>
              </w:rPr>
            </w:pPr>
            <w:r>
              <w:rPr>
                <w:rFonts w:ascii="Garamond" w:hAnsi="Garamond" w:cstheme="minorHAnsi"/>
                <w:szCs w:val="24"/>
              </w:rPr>
              <w:t xml:space="preserve">   Major malformations</w:t>
            </w:r>
          </w:p>
        </w:tc>
        <w:tc>
          <w:tcPr>
            <w:tcW w:w="1629" w:type="dxa"/>
            <w:tcBorders>
              <w:top w:val="nil"/>
              <w:bottom w:val="nil"/>
            </w:tcBorders>
            <w:vAlign w:val="center"/>
          </w:tcPr>
          <w:p w:rsidR="00622F8D" w:rsidRPr="00EC3DB5" w:rsidRDefault="00622F8D" w:rsidP="009F449D">
            <w:pPr>
              <w:spacing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5E122B">
            <w:pPr>
              <w:spacing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9F449D">
            <w:pPr>
              <w:spacing w:line="276" w:lineRule="auto"/>
              <w:rPr>
                <w:rFonts w:ascii="Garamond" w:hAnsi="Garamond" w:cstheme="minorHAnsi"/>
                <w:szCs w:val="24"/>
              </w:rPr>
            </w:pPr>
          </w:p>
        </w:tc>
      </w:tr>
      <w:tr w:rsidR="009F449D" w:rsidRPr="00EC3DB5" w:rsidTr="00622F8D">
        <w:tc>
          <w:tcPr>
            <w:tcW w:w="3164" w:type="dxa"/>
            <w:tcBorders>
              <w:top w:val="nil"/>
              <w:bottom w:val="nil"/>
            </w:tcBorders>
            <w:vAlign w:val="center"/>
          </w:tcPr>
          <w:p w:rsidR="009F449D" w:rsidRPr="00EC3DB5" w:rsidRDefault="00622F8D" w:rsidP="00622F8D">
            <w:pPr>
              <w:spacing w:line="276" w:lineRule="auto"/>
              <w:rPr>
                <w:rFonts w:ascii="Garamond" w:hAnsi="Garamond" w:cstheme="minorHAnsi"/>
                <w:szCs w:val="24"/>
              </w:rPr>
            </w:pPr>
            <w:r>
              <w:rPr>
                <w:rFonts w:ascii="Garamond" w:hAnsi="Garamond" w:cstheme="minorHAnsi"/>
                <w:szCs w:val="24"/>
              </w:rPr>
              <w:t xml:space="preserve">   Cardiac </w:t>
            </w:r>
            <w:proofErr w:type="spellStart"/>
            <w:r>
              <w:rPr>
                <w:rFonts w:ascii="Garamond" w:hAnsi="Garamond" w:cstheme="minorHAnsi"/>
                <w:szCs w:val="24"/>
              </w:rPr>
              <w:t>malformatios</w:t>
            </w:r>
            <w:proofErr w:type="spellEnd"/>
          </w:p>
        </w:tc>
        <w:tc>
          <w:tcPr>
            <w:tcW w:w="1629" w:type="dxa"/>
            <w:tcBorders>
              <w:top w:val="nil"/>
              <w:bottom w:val="nil"/>
            </w:tcBorders>
            <w:vAlign w:val="center"/>
          </w:tcPr>
          <w:p w:rsidR="009F449D" w:rsidRPr="00EC3DB5" w:rsidRDefault="009F449D" w:rsidP="009F449D">
            <w:pPr>
              <w:spacing w:line="276" w:lineRule="auto"/>
              <w:jc w:val="center"/>
              <w:rPr>
                <w:rFonts w:ascii="Garamond" w:hAnsi="Garamond" w:cstheme="minorHAnsi"/>
                <w:szCs w:val="24"/>
              </w:rPr>
            </w:pPr>
          </w:p>
        </w:tc>
        <w:tc>
          <w:tcPr>
            <w:tcW w:w="1630" w:type="dxa"/>
            <w:tcBorders>
              <w:top w:val="nil"/>
              <w:bottom w:val="nil"/>
            </w:tcBorders>
            <w:vAlign w:val="center"/>
          </w:tcPr>
          <w:p w:rsidR="00FF78D7" w:rsidRPr="00EC3DB5" w:rsidRDefault="00FF78D7" w:rsidP="005E122B">
            <w:pPr>
              <w:spacing w:line="276" w:lineRule="auto"/>
              <w:rPr>
                <w:rFonts w:ascii="Garamond" w:hAnsi="Garamond" w:cstheme="minorHAnsi"/>
                <w:szCs w:val="24"/>
              </w:rPr>
            </w:pPr>
          </w:p>
        </w:tc>
        <w:tc>
          <w:tcPr>
            <w:tcW w:w="1630" w:type="dxa"/>
            <w:tcBorders>
              <w:top w:val="nil"/>
              <w:bottom w:val="nil"/>
            </w:tcBorders>
            <w:vAlign w:val="center"/>
          </w:tcPr>
          <w:p w:rsidR="009F449D" w:rsidRPr="00EC3DB5" w:rsidRDefault="009F449D" w:rsidP="002A340B">
            <w:pPr>
              <w:spacing w:line="276" w:lineRule="auto"/>
              <w:jc w:val="center"/>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Pr="00EC3DB5" w:rsidRDefault="00622F8D" w:rsidP="00622F8D">
            <w:pPr>
              <w:spacing w:before="120" w:line="276" w:lineRule="auto"/>
              <w:rPr>
                <w:rFonts w:ascii="Garamond" w:hAnsi="Garamond" w:cstheme="minorHAnsi"/>
                <w:szCs w:val="24"/>
              </w:rPr>
            </w:pPr>
            <w:r>
              <w:rPr>
                <w:rFonts w:ascii="Garamond" w:hAnsi="Garamond" w:cstheme="minorHAnsi"/>
                <w:szCs w:val="24"/>
              </w:rPr>
              <w:t xml:space="preserve">Maternal age &lt; 30 </w:t>
            </w:r>
          </w:p>
        </w:tc>
        <w:tc>
          <w:tcPr>
            <w:tcW w:w="1629" w:type="dxa"/>
            <w:tcBorders>
              <w:top w:val="nil"/>
              <w:bottom w:val="nil"/>
            </w:tcBorders>
            <w:vAlign w:val="center"/>
          </w:tcPr>
          <w:p w:rsidR="00622F8D" w:rsidRPr="00EC3DB5" w:rsidRDefault="00622F8D" w:rsidP="00622F8D">
            <w:pPr>
              <w:spacing w:before="120"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before="120"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before="120" w:line="276" w:lineRule="auto"/>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Default="00622F8D" w:rsidP="00622F8D">
            <w:pPr>
              <w:spacing w:line="276" w:lineRule="auto"/>
              <w:rPr>
                <w:rFonts w:ascii="Garamond" w:hAnsi="Garamond" w:cstheme="minorHAnsi"/>
                <w:szCs w:val="24"/>
              </w:rPr>
            </w:pPr>
            <w:r>
              <w:rPr>
                <w:rFonts w:ascii="Garamond" w:hAnsi="Garamond" w:cstheme="minorHAnsi"/>
                <w:szCs w:val="24"/>
              </w:rPr>
              <w:t xml:space="preserve">   Major malformations</w:t>
            </w:r>
          </w:p>
        </w:tc>
        <w:tc>
          <w:tcPr>
            <w:tcW w:w="1629" w:type="dxa"/>
            <w:tcBorders>
              <w:top w:val="nil"/>
              <w:bottom w:val="nil"/>
            </w:tcBorders>
            <w:vAlign w:val="center"/>
          </w:tcPr>
          <w:p w:rsidR="00622F8D" w:rsidRPr="00EC3DB5" w:rsidRDefault="00622F8D" w:rsidP="00622F8D">
            <w:pPr>
              <w:spacing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r>
              <w:rPr>
                <w:rFonts w:ascii="Garamond" w:hAnsi="Garamond" w:cstheme="minorHAnsi"/>
                <w:szCs w:val="24"/>
              </w:rPr>
              <w:t xml:space="preserve">   Cardiac </w:t>
            </w:r>
            <w:proofErr w:type="spellStart"/>
            <w:r>
              <w:rPr>
                <w:rFonts w:ascii="Garamond" w:hAnsi="Garamond" w:cstheme="minorHAnsi"/>
                <w:szCs w:val="24"/>
              </w:rPr>
              <w:t>malformatios</w:t>
            </w:r>
            <w:proofErr w:type="spellEnd"/>
          </w:p>
        </w:tc>
        <w:tc>
          <w:tcPr>
            <w:tcW w:w="1629" w:type="dxa"/>
            <w:tcBorders>
              <w:top w:val="nil"/>
              <w:bottom w:val="nil"/>
            </w:tcBorders>
            <w:vAlign w:val="center"/>
          </w:tcPr>
          <w:p w:rsidR="00622F8D" w:rsidRPr="00EC3DB5" w:rsidRDefault="00622F8D" w:rsidP="00622F8D">
            <w:pPr>
              <w:spacing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jc w:val="center"/>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Pr="00EC3DB5" w:rsidRDefault="00622F8D" w:rsidP="00622F8D">
            <w:pPr>
              <w:spacing w:before="120" w:line="276" w:lineRule="auto"/>
              <w:rPr>
                <w:rFonts w:ascii="Garamond" w:hAnsi="Garamond" w:cstheme="minorHAnsi"/>
                <w:szCs w:val="24"/>
              </w:rPr>
            </w:pPr>
            <w:r>
              <w:rPr>
                <w:rFonts w:ascii="Garamond" w:hAnsi="Garamond" w:cstheme="minorHAnsi"/>
                <w:szCs w:val="24"/>
              </w:rPr>
              <w:t xml:space="preserve">Maternal age ≥ 30 </w:t>
            </w:r>
          </w:p>
        </w:tc>
        <w:tc>
          <w:tcPr>
            <w:tcW w:w="1629" w:type="dxa"/>
            <w:tcBorders>
              <w:top w:val="nil"/>
              <w:bottom w:val="nil"/>
            </w:tcBorders>
            <w:vAlign w:val="center"/>
          </w:tcPr>
          <w:p w:rsidR="00622F8D" w:rsidRPr="00EC3DB5" w:rsidRDefault="00622F8D" w:rsidP="00622F8D">
            <w:pPr>
              <w:spacing w:before="120"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before="120"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before="120" w:line="276" w:lineRule="auto"/>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Default="00622F8D" w:rsidP="00622F8D">
            <w:pPr>
              <w:spacing w:line="276" w:lineRule="auto"/>
              <w:rPr>
                <w:rFonts w:ascii="Garamond" w:hAnsi="Garamond" w:cstheme="minorHAnsi"/>
                <w:szCs w:val="24"/>
              </w:rPr>
            </w:pPr>
            <w:r>
              <w:rPr>
                <w:rFonts w:ascii="Garamond" w:hAnsi="Garamond" w:cstheme="minorHAnsi"/>
                <w:szCs w:val="24"/>
              </w:rPr>
              <w:t xml:space="preserve">   Major malformations</w:t>
            </w:r>
          </w:p>
        </w:tc>
        <w:tc>
          <w:tcPr>
            <w:tcW w:w="1629" w:type="dxa"/>
            <w:tcBorders>
              <w:top w:val="nil"/>
              <w:bottom w:val="nil"/>
            </w:tcBorders>
            <w:vAlign w:val="center"/>
          </w:tcPr>
          <w:p w:rsidR="00622F8D" w:rsidRPr="00EC3DB5" w:rsidRDefault="00622F8D" w:rsidP="00622F8D">
            <w:pPr>
              <w:spacing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r>
              <w:rPr>
                <w:rFonts w:ascii="Garamond" w:hAnsi="Garamond" w:cstheme="minorHAnsi"/>
                <w:szCs w:val="24"/>
              </w:rPr>
              <w:t xml:space="preserve">   Cardiac </w:t>
            </w:r>
            <w:proofErr w:type="spellStart"/>
            <w:r>
              <w:rPr>
                <w:rFonts w:ascii="Garamond" w:hAnsi="Garamond" w:cstheme="minorHAnsi"/>
                <w:szCs w:val="24"/>
              </w:rPr>
              <w:t>malformatios</w:t>
            </w:r>
            <w:proofErr w:type="spellEnd"/>
          </w:p>
        </w:tc>
        <w:tc>
          <w:tcPr>
            <w:tcW w:w="1629" w:type="dxa"/>
            <w:tcBorders>
              <w:top w:val="nil"/>
              <w:bottom w:val="nil"/>
            </w:tcBorders>
            <w:vAlign w:val="center"/>
          </w:tcPr>
          <w:p w:rsidR="00622F8D" w:rsidRPr="00EC3DB5" w:rsidRDefault="00622F8D" w:rsidP="00622F8D">
            <w:pPr>
              <w:spacing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jc w:val="center"/>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Pr="00EC3DB5" w:rsidRDefault="00622F8D" w:rsidP="00622F8D">
            <w:pPr>
              <w:spacing w:before="120" w:line="276" w:lineRule="auto"/>
              <w:rPr>
                <w:rFonts w:ascii="Garamond" w:hAnsi="Garamond" w:cstheme="minorHAnsi"/>
                <w:szCs w:val="24"/>
              </w:rPr>
            </w:pPr>
            <w:r>
              <w:rPr>
                <w:rFonts w:ascii="Garamond" w:hAnsi="Garamond" w:cstheme="minorHAnsi"/>
                <w:szCs w:val="24"/>
              </w:rPr>
              <w:t xml:space="preserve">No use of confounding drugs* </w:t>
            </w:r>
          </w:p>
        </w:tc>
        <w:tc>
          <w:tcPr>
            <w:tcW w:w="1629" w:type="dxa"/>
            <w:tcBorders>
              <w:top w:val="nil"/>
              <w:bottom w:val="nil"/>
            </w:tcBorders>
            <w:vAlign w:val="center"/>
          </w:tcPr>
          <w:p w:rsidR="00622F8D" w:rsidRPr="00EC3DB5" w:rsidRDefault="00622F8D" w:rsidP="00622F8D">
            <w:pPr>
              <w:spacing w:before="120"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before="120"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before="120" w:line="276" w:lineRule="auto"/>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Default="00622F8D" w:rsidP="00622F8D">
            <w:pPr>
              <w:spacing w:line="276" w:lineRule="auto"/>
              <w:rPr>
                <w:rFonts w:ascii="Garamond" w:hAnsi="Garamond" w:cstheme="minorHAnsi"/>
                <w:szCs w:val="24"/>
              </w:rPr>
            </w:pPr>
            <w:r>
              <w:rPr>
                <w:rFonts w:ascii="Garamond" w:hAnsi="Garamond" w:cstheme="minorHAnsi"/>
                <w:szCs w:val="24"/>
              </w:rPr>
              <w:t xml:space="preserve">   Major malformations</w:t>
            </w:r>
          </w:p>
        </w:tc>
        <w:tc>
          <w:tcPr>
            <w:tcW w:w="1629" w:type="dxa"/>
            <w:tcBorders>
              <w:top w:val="nil"/>
              <w:bottom w:val="nil"/>
            </w:tcBorders>
            <w:vAlign w:val="center"/>
          </w:tcPr>
          <w:p w:rsidR="00622F8D" w:rsidRPr="00EC3DB5" w:rsidRDefault="00622F8D" w:rsidP="00622F8D">
            <w:pPr>
              <w:spacing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p>
        </w:tc>
      </w:tr>
      <w:tr w:rsidR="00622F8D" w:rsidRPr="00EC3DB5" w:rsidTr="00622F8D">
        <w:tc>
          <w:tcPr>
            <w:tcW w:w="3164"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r>
              <w:rPr>
                <w:rFonts w:ascii="Garamond" w:hAnsi="Garamond" w:cstheme="minorHAnsi"/>
                <w:szCs w:val="24"/>
              </w:rPr>
              <w:t xml:space="preserve">   Cardiac </w:t>
            </w:r>
            <w:proofErr w:type="spellStart"/>
            <w:r>
              <w:rPr>
                <w:rFonts w:ascii="Garamond" w:hAnsi="Garamond" w:cstheme="minorHAnsi"/>
                <w:szCs w:val="24"/>
              </w:rPr>
              <w:t>malformatios</w:t>
            </w:r>
            <w:proofErr w:type="spellEnd"/>
          </w:p>
        </w:tc>
        <w:tc>
          <w:tcPr>
            <w:tcW w:w="1629" w:type="dxa"/>
            <w:tcBorders>
              <w:top w:val="nil"/>
              <w:bottom w:val="nil"/>
            </w:tcBorders>
            <w:vAlign w:val="center"/>
          </w:tcPr>
          <w:p w:rsidR="00622F8D" w:rsidRPr="00EC3DB5" w:rsidRDefault="00622F8D" w:rsidP="00622F8D">
            <w:pPr>
              <w:spacing w:line="276" w:lineRule="auto"/>
              <w:jc w:val="center"/>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rPr>
                <w:rFonts w:ascii="Garamond" w:hAnsi="Garamond" w:cstheme="minorHAnsi"/>
                <w:szCs w:val="24"/>
              </w:rPr>
            </w:pPr>
          </w:p>
        </w:tc>
        <w:tc>
          <w:tcPr>
            <w:tcW w:w="1630" w:type="dxa"/>
            <w:tcBorders>
              <w:top w:val="nil"/>
              <w:bottom w:val="nil"/>
            </w:tcBorders>
            <w:vAlign w:val="center"/>
          </w:tcPr>
          <w:p w:rsidR="00622F8D" w:rsidRPr="00EC3DB5" w:rsidRDefault="00622F8D" w:rsidP="00622F8D">
            <w:pPr>
              <w:spacing w:line="276" w:lineRule="auto"/>
              <w:jc w:val="center"/>
              <w:rPr>
                <w:rFonts w:ascii="Garamond" w:hAnsi="Garamond" w:cstheme="minorHAnsi"/>
                <w:szCs w:val="24"/>
              </w:rPr>
            </w:pPr>
          </w:p>
        </w:tc>
      </w:tr>
      <w:tr w:rsidR="00622F8D" w:rsidRPr="00453256" w:rsidTr="00622F8D">
        <w:tc>
          <w:tcPr>
            <w:tcW w:w="8053" w:type="dxa"/>
            <w:gridSpan w:val="4"/>
            <w:tcBorders>
              <w:top w:val="single" w:sz="4" w:space="0" w:color="auto"/>
              <w:bottom w:val="nil"/>
            </w:tcBorders>
            <w:vAlign w:val="center"/>
          </w:tcPr>
          <w:p w:rsidR="00622F8D" w:rsidRPr="00453256" w:rsidRDefault="00622F8D" w:rsidP="00264674">
            <w:pPr>
              <w:jc w:val="both"/>
              <w:rPr>
                <w:rFonts w:ascii="Garamond" w:hAnsi="Garamond" w:cstheme="minorHAnsi"/>
                <w:szCs w:val="24"/>
              </w:rPr>
            </w:pPr>
            <w:r w:rsidRPr="00453256">
              <w:rPr>
                <w:rFonts w:ascii="Garamond" w:hAnsi="Garamond" w:cstheme="minorHAnsi"/>
                <w:sz w:val="20"/>
              </w:rPr>
              <w:t>* Atomoxetine (ATC, N06BA09), Modafinil (N06BA07), Dexamphetamine (N06BA02), Antipsychotics (N05A), antidepressants (N06A), anxiolytics (N05B)</w:t>
            </w:r>
            <w:r w:rsidR="00453256" w:rsidRPr="00453256">
              <w:rPr>
                <w:rFonts w:ascii="Garamond" w:hAnsi="Garamond" w:cstheme="minorHAnsi"/>
                <w:sz w:val="20"/>
              </w:rPr>
              <w:t>, and NSAIDs (M01A excluding M01AX)</w:t>
            </w:r>
            <w:r w:rsidRPr="00453256">
              <w:rPr>
                <w:rFonts w:ascii="Garamond" w:hAnsi="Garamond" w:cstheme="minorHAnsi"/>
                <w:sz w:val="20"/>
              </w:rPr>
              <w:t>.</w:t>
            </w:r>
          </w:p>
        </w:tc>
      </w:tr>
    </w:tbl>
    <w:p w:rsidR="00C41742" w:rsidRPr="00453256" w:rsidRDefault="00C41742" w:rsidP="00FF2FCE">
      <w:pPr>
        <w:spacing w:line="360" w:lineRule="auto"/>
        <w:jc w:val="both"/>
        <w:rPr>
          <w:rFonts w:ascii="Garamond" w:hAnsi="Garamond" w:cstheme="minorHAnsi"/>
          <w:szCs w:val="24"/>
        </w:rPr>
      </w:pPr>
    </w:p>
    <w:p w:rsidR="00893E33" w:rsidRDefault="00893E33" w:rsidP="00453256">
      <w:pPr>
        <w:spacing w:after="200" w:line="276" w:lineRule="auto"/>
        <w:rPr>
          <w:rFonts w:ascii="Garamond" w:hAnsi="Garamond" w:cstheme="minorHAnsi"/>
          <w:sz w:val="20"/>
        </w:rPr>
      </w:pPr>
    </w:p>
    <w:p w:rsidR="009A1934" w:rsidRPr="00453256" w:rsidRDefault="009A1934" w:rsidP="00453256">
      <w:pPr>
        <w:spacing w:after="200" w:line="276" w:lineRule="auto"/>
        <w:rPr>
          <w:rFonts w:ascii="Garamond" w:hAnsi="Garamond" w:cstheme="minorHAnsi"/>
          <w:sz w:val="20"/>
        </w:rPr>
      </w:pPr>
    </w:p>
    <w:p w:rsidR="009A1934" w:rsidRDefault="009A1934" w:rsidP="009A1934">
      <w:pPr>
        <w:spacing w:line="276" w:lineRule="auto"/>
        <w:jc w:val="both"/>
        <w:rPr>
          <w:rFonts w:ascii="Garamond" w:hAnsi="Garamond" w:cstheme="minorHAnsi"/>
          <w:b/>
          <w:szCs w:val="24"/>
        </w:rPr>
      </w:pPr>
      <w:r w:rsidRPr="00EC3DB5">
        <w:rPr>
          <w:rFonts w:ascii="Garamond" w:hAnsi="Garamond" w:cstheme="minorHAnsi"/>
          <w:b/>
          <w:szCs w:val="24"/>
        </w:rPr>
        <w:t xml:space="preserve">Table </w:t>
      </w:r>
      <w:r>
        <w:rPr>
          <w:rFonts w:ascii="Garamond" w:hAnsi="Garamond" w:cstheme="minorHAnsi"/>
          <w:b/>
          <w:szCs w:val="24"/>
        </w:rPr>
        <w:t>3</w:t>
      </w:r>
      <w:r w:rsidRPr="00EC3DB5">
        <w:rPr>
          <w:rFonts w:ascii="Garamond" w:hAnsi="Garamond" w:cstheme="minorHAnsi"/>
          <w:b/>
          <w:szCs w:val="24"/>
        </w:rPr>
        <w:t xml:space="preserve">: </w:t>
      </w:r>
      <w:r>
        <w:rPr>
          <w:rFonts w:ascii="Garamond" w:hAnsi="Garamond" w:cstheme="minorHAnsi"/>
          <w:b/>
          <w:szCs w:val="24"/>
        </w:rPr>
        <w:t>Sensitivity analyses</w:t>
      </w:r>
    </w:p>
    <w:tbl>
      <w:tblPr>
        <w:tblStyle w:val="Tabel-Gitter"/>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1629"/>
        <w:gridCol w:w="1630"/>
        <w:gridCol w:w="1630"/>
      </w:tblGrid>
      <w:tr w:rsidR="009A1934" w:rsidRPr="00EC3DB5" w:rsidTr="00C074F0">
        <w:trPr>
          <w:trHeight w:val="480"/>
        </w:trPr>
        <w:tc>
          <w:tcPr>
            <w:tcW w:w="3164" w:type="dxa"/>
            <w:tcBorders>
              <w:top w:val="single" w:sz="4" w:space="0" w:color="auto"/>
              <w:bottom w:val="single" w:sz="4" w:space="0" w:color="auto"/>
            </w:tcBorders>
            <w:vAlign w:val="center"/>
          </w:tcPr>
          <w:p w:rsidR="009A1934" w:rsidRPr="00EC3DB5" w:rsidRDefault="009A1934" w:rsidP="00C074F0">
            <w:pPr>
              <w:spacing w:line="276" w:lineRule="auto"/>
              <w:rPr>
                <w:rFonts w:ascii="Garamond" w:hAnsi="Garamond" w:cstheme="minorHAnsi"/>
                <w:b/>
                <w:szCs w:val="24"/>
              </w:rPr>
            </w:pPr>
            <w:r>
              <w:rPr>
                <w:rFonts w:ascii="Garamond" w:hAnsi="Garamond" w:cstheme="minorHAnsi"/>
                <w:b/>
                <w:szCs w:val="24"/>
              </w:rPr>
              <w:t>Sensitivity analysis</w:t>
            </w:r>
          </w:p>
        </w:tc>
        <w:tc>
          <w:tcPr>
            <w:tcW w:w="1629" w:type="dxa"/>
            <w:tcBorders>
              <w:top w:val="single" w:sz="4" w:space="0" w:color="auto"/>
              <w:bottom w:val="single" w:sz="4" w:space="0" w:color="auto"/>
            </w:tcBorders>
            <w:vAlign w:val="center"/>
          </w:tcPr>
          <w:p w:rsidR="009A1934" w:rsidRDefault="009A1934" w:rsidP="00C074F0">
            <w:pPr>
              <w:spacing w:line="276" w:lineRule="auto"/>
              <w:jc w:val="center"/>
              <w:rPr>
                <w:rFonts w:ascii="Garamond" w:hAnsi="Garamond" w:cstheme="minorHAnsi"/>
                <w:b/>
                <w:szCs w:val="24"/>
              </w:rPr>
            </w:pPr>
            <w:r>
              <w:rPr>
                <w:rFonts w:ascii="Garamond" w:hAnsi="Garamond" w:cstheme="minorHAnsi"/>
                <w:b/>
                <w:szCs w:val="24"/>
              </w:rPr>
              <w:t xml:space="preserve">Exposed </w:t>
            </w:r>
          </w:p>
          <w:p w:rsidR="009A1934" w:rsidRPr="00622F8D" w:rsidRDefault="009A1934" w:rsidP="00C074F0">
            <w:pPr>
              <w:spacing w:line="276" w:lineRule="auto"/>
              <w:jc w:val="center"/>
              <w:rPr>
                <w:rFonts w:ascii="Garamond" w:hAnsi="Garamond" w:cstheme="minorHAnsi"/>
                <w:szCs w:val="24"/>
              </w:rPr>
            </w:pPr>
            <w:r w:rsidRPr="00622F8D">
              <w:rPr>
                <w:rFonts w:ascii="Garamond" w:hAnsi="Garamond" w:cstheme="minorHAnsi"/>
                <w:szCs w:val="24"/>
              </w:rPr>
              <w:t>Events / no. pregnancies</w:t>
            </w:r>
          </w:p>
        </w:tc>
        <w:tc>
          <w:tcPr>
            <w:tcW w:w="1630" w:type="dxa"/>
            <w:tcBorders>
              <w:top w:val="single" w:sz="4" w:space="0" w:color="auto"/>
              <w:bottom w:val="single" w:sz="4" w:space="0" w:color="auto"/>
            </w:tcBorders>
            <w:vAlign w:val="center"/>
          </w:tcPr>
          <w:p w:rsidR="009A1934" w:rsidRDefault="009A1934" w:rsidP="00C074F0">
            <w:pPr>
              <w:spacing w:line="276" w:lineRule="auto"/>
              <w:jc w:val="center"/>
              <w:rPr>
                <w:rFonts w:ascii="Garamond" w:hAnsi="Garamond" w:cstheme="minorHAnsi"/>
                <w:b/>
                <w:szCs w:val="24"/>
              </w:rPr>
            </w:pPr>
            <w:r>
              <w:rPr>
                <w:rFonts w:ascii="Garamond" w:hAnsi="Garamond" w:cstheme="minorHAnsi"/>
                <w:b/>
                <w:szCs w:val="24"/>
              </w:rPr>
              <w:t xml:space="preserve">Unexposed </w:t>
            </w:r>
          </w:p>
          <w:p w:rsidR="009A1934" w:rsidRPr="00622F8D" w:rsidRDefault="009A1934" w:rsidP="00C074F0">
            <w:pPr>
              <w:spacing w:line="276" w:lineRule="auto"/>
              <w:jc w:val="center"/>
              <w:rPr>
                <w:rFonts w:ascii="Garamond" w:hAnsi="Garamond" w:cstheme="minorHAnsi"/>
                <w:szCs w:val="24"/>
              </w:rPr>
            </w:pPr>
            <w:r w:rsidRPr="00622F8D">
              <w:rPr>
                <w:rFonts w:ascii="Garamond" w:hAnsi="Garamond" w:cstheme="minorHAnsi"/>
                <w:szCs w:val="24"/>
              </w:rPr>
              <w:t>Events / no. pregnancies</w:t>
            </w:r>
          </w:p>
        </w:tc>
        <w:tc>
          <w:tcPr>
            <w:tcW w:w="1630" w:type="dxa"/>
            <w:tcBorders>
              <w:top w:val="single" w:sz="4" w:space="0" w:color="auto"/>
              <w:bottom w:val="single" w:sz="4" w:space="0" w:color="auto"/>
            </w:tcBorders>
            <w:vAlign w:val="center"/>
          </w:tcPr>
          <w:p w:rsidR="009A1934" w:rsidRPr="00EC3DB5" w:rsidRDefault="009A1934" w:rsidP="00C074F0">
            <w:pPr>
              <w:spacing w:line="276" w:lineRule="auto"/>
              <w:jc w:val="center"/>
              <w:rPr>
                <w:rFonts w:ascii="Garamond" w:hAnsi="Garamond" w:cstheme="minorHAnsi"/>
                <w:b/>
                <w:szCs w:val="24"/>
              </w:rPr>
            </w:pPr>
            <w:r>
              <w:rPr>
                <w:rFonts w:ascii="Garamond" w:hAnsi="Garamond" w:cstheme="minorHAnsi"/>
                <w:b/>
                <w:szCs w:val="24"/>
              </w:rPr>
              <w:t>PPR</w:t>
            </w:r>
            <w:r w:rsidRPr="00EC3DB5">
              <w:rPr>
                <w:rFonts w:ascii="Garamond" w:hAnsi="Garamond" w:cstheme="minorHAnsi"/>
                <w:b/>
                <w:szCs w:val="24"/>
              </w:rPr>
              <w:t xml:space="preserve"> (95% CI)</w:t>
            </w:r>
          </w:p>
        </w:tc>
      </w:tr>
      <w:tr w:rsidR="009A1934" w:rsidRPr="00EC3DB5" w:rsidTr="00C074F0">
        <w:tc>
          <w:tcPr>
            <w:tcW w:w="3164" w:type="dxa"/>
            <w:tcBorders>
              <w:top w:val="single" w:sz="4" w:space="0" w:color="auto"/>
              <w:bottom w:val="nil"/>
            </w:tcBorders>
            <w:vAlign w:val="center"/>
          </w:tcPr>
          <w:p w:rsidR="009A1934" w:rsidRPr="00EC3DB5" w:rsidRDefault="009A1934" w:rsidP="00C074F0">
            <w:pPr>
              <w:spacing w:before="120" w:line="276" w:lineRule="auto"/>
              <w:rPr>
                <w:rFonts w:ascii="Garamond" w:hAnsi="Garamond" w:cstheme="minorHAnsi"/>
                <w:szCs w:val="24"/>
              </w:rPr>
            </w:pPr>
            <w:r>
              <w:rPr>
                <w:rFonts w:ascii="Garamond" w:hAnsi="Garamond" w:cstheme="minorHAnsi"/>
                <w:szCs w:val="24"/>
              </w:rPr>
              <w:t xml:space="preserve">Comparing to previous users </w:t>
            </w:r>
          </w:p>
        </w:tc>
        <w:tc>
          <w:tcPr>
            <w:tcW w:w="1629" w:type="dxa"/>
            <w:tcBorders>
              <w:top w:val="single" w:sz="4" w:space="0" w:color="auto"/>
              <w:bottom w:val="nil"/>
            </w:tcBorders>
            <w:vAlign w:val="center"/>
          </w:tcPr>
          <w:p w:rsidR="009A1934" w:rsidRPr="00EC3DB5" w:rsidRDefault="009A1934" w:rsidP="00C074F0">
            <w:pPr>
              <w:spacing w:before="120" w:line="276" w:lineRule="auto"/>
              <w:jc w:val="center"/>
              <w:rPr>
                <w:rFonts w:ascii="Garamond" w:hAnsi="Garamond" w:cstheme="minorHAnsi"/>
                <w:szCs w:val="24"/>
              </w:rPr>
            </w:pPr>
          </w:p>
        </w:tc>
        <w:tc>
          <w:tcPr>
            <w:tcW w:w="1630" w:type="dxa"/>
            <w:tcBorders>
              <w:top w:val="single" w:sz="4" w:space="0" w:color="auto"/>
              <w:bottom w:val="nil"/>
            </w:tcBorders>
            <w:vAlign w:val="center"/>
          </w:tcPr>
          <w:p w:rsidR="009A1934" w:rsidRPr="00EC3DB5" w:rsidRDefault="009A1934" w:rsidP="00C074F0">
            <w:pPr>
              <w:spacing w:before="120" w:line="276" w:lineRule="auto"/>
              <w:rPr>
                <w:rFonts w:ascii="Garamond" w:hAnsi="Garamond" w:cstheme="minorHAnsi"/>
                <w:szCs w:val="24"/>
              </w:rPr>
            </w:pPr>
          </w:p>
        </w:tc>
        <w:tc>
          <w:tcPr>
            <w:tcW w:w="1630" w:type="dxa"/>
            <w:tcBorders>
              <w:top w:val="single" w:sz="4" w:space="0" w:color="auto"/>
              <w:bottom w:val="nil"/>
            </w:tcBorders>
            <w:vAlign w:val="center"/>
          </w:tcPr>
          <w:p w:rsidR="009A1934" w:rsidRPr="00EC3DB5" w:rsidRDefault="009A1934" w:rsidP="00C074F0">
            <w:pPr>
              <w:spacing w:before="120" w:line="276" w:lineRule="auto"/>
              <w:rPr>
                <w:rFonts w:ascii="Garamond" w:hAnsi="Garamond" w:cstheme="minorHAnsi"/>
                <w:szCs w:val="24"/>
              </w:rPr>
            </w:pPr>
          </w:p>
        </w:tc>
      </w:tr>
      <w:tr w:rsidR="009A1934" w:rsidRPr="00EC3DB5" w:rsidTr="00C074F0">
        <w:tc>
          <w:tcPr>
            <w:tcW w:w="3164" w:type="dxa"/>
            <w:tcBorders>
              <w:top w:val="nil"/>
              <w:bottom w:val="nil"/>
            </w:tcBorders>
            <w:vAlign w:val="center"/>
          </w:tcPr>
          <w:p w:rsidR="009A1934" w:rsidRDefault="009A1934" w:rsidP="00C074F0">
            <w:pPr>
              <w:spacing w:line="276" w:lineRule="auto"/>
              <w:rPr>
                <w:rFonts w:ascii="Garamond" w:hAnsi="Garamond" w:cstheme="minorHAnsi"/>
                <w:szCs w:val="24"/>
              </w:rPr>
            </w:pPr>
            <w:r>
              <w:rPr>
                <w:rFonts w:ascii="Garamond" w:hAnsi="Garamond" w:cstheme="minorHAnsi"/>
                <w:szCs w:val="24"/>
              </w:rPr>
              <w:t xml:space="preserve">   Major malformations</w:t>
            </w:r>
          </w:p>
        </w:tc>
        <w:tc>
          <w:tcPr>
            <w:tcW w:w="1629" w:type="dxa"/>
            <w:tcBorders>
              <w:top w:val="nil"/>
              <w:bottom w:val="nil"/>
            </w:tcBorders>
            <w:vAlign w:val="center"/>
          </w:tcPr>
          <w:p w:rsidR="009A1934" w:rsidRPr="00EC3DB5" w:rsidRDefault="009A1934" w:rsidP="00C074F0">
            <w:pPr>
              <w:spacing w:line="276" w:lineRule="auto"/>
              <w:jc w:val="center"/>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p>
        </w:tc>
      </w:tr>
      <w:tr w:rsidR="009A1934" w:rsidRPr="00EC3DB5" w:rsidTr="00C074F0">
        <w:tc>
          <w:tcPr>
            <w:tcW w:w="3164"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r>
              <w:rPr>
                <w:rFonts w:ascii="Garamond" w:hAnsi="Garamond" w:cstheme="minorHAnsi"/>
                <w:szCs w:val="24"/>
              </w:rPr>
              <w:t xml:space="preserve">   Cardiac </w:t>
            </w:r>
            <w:proofErr w:type="spellStart"/>
            <w:r>
              <w:rPr>
                <w:rFonts w:ascii="Garamond" w:hAnsi="Garamond" w:cstheme="minorHAnsi"/>
                <w:szCs w:val="24"/>
              </w:rPr>
              <w:t>malformatios</w:t>
            </w:r>
            <w:proofErr w:type="spellEnd"/>
          </w:p>
        </w:tc>
        <w:tc>
          <w:tcPr>
            <w:tcW w:w="1629" w:type="dxa"/>
            <w:tcBorders>
              <w:top w:val="nil"/>
              <w:bottom w:val="nil"/>
            </w:tcBorders>
            <w:vAlign w:val="center"/>
          </w:tcPr>
          <w:p w:rsidR="009A1934" w:rsidRPr="00EC3DB5" w:rsidRDefault="009A1934" w:rsidP="00C074F0">
            <w:pPr>
              <w:spacing w:line="276" w:lineRule="auto"/>
              <w:jc w:val="center"/>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jc w:val="center"/>
              <w:rPr>
                <w:rFonts w:ascii="Garamond" w:hAnsi="Garamond" w:cstheme="minorHAnsi"/>
                <w:szCs w:val="24"/>
              </w:rPr>
            </w:pPr>
          </w:p>
        </w:tc>
      </w:tr>
      <w:tr w:rsidR="009A1934" w:rsidRPr="00EC3DB5" w:rsidTr="00C074F0">
        <w:tc>
          <w:tcPr>
            <w:tcW w:w="3164" w:type="dxa"/>
            <w:tcBorders>
              <w:top w:val="nil"/>
              <w:bottom w:val="nil"/>
            </w:tcBorders>
            <w:vAlign w:val="center"/>
          </w:tcPr>
          <w:p w:rsidR="009A1934" w:rsidRPr="00EC3DB5" w:rsidRDefault="009A1934" w:rsidP="00C074F0">
            <w:pPr>
              <w:spacing w:before="120" w:line="276" w:lineRule="auto"/>
              <w:rPr>
                <w:rFonts w:ascii="Garamond" w:hAnsi="Garamond" w:cstheme="minorHAnsi"/>
                <w:szCs w:val="24"/>
              </w:rPr>
            </w:pPr>
            <w:r>
              <w:rPr>
                <w:rFonts w:ascii="Garamond" w:hAnsi="Garamond" w:cstheme="minorHAnsi"/>
                <w:szCs w:val="24"/>
              </w:rPr>
              <w:t xml:space="preserve">More restrictive entry criteria </w:t>
            </w:r>
          </w:p>
        </w:tc>
        <w:tc>
          <w:tcPr>
            <w:tcW w:w="1629" w:type="dxa"/>
            <w:tcBorders>
              <w:top w:val="nil"/>
              <w:bottom w:val="nil"/>
            </w:tcBorders>
            <w:vAlign w:val="center"/>
          </w:tcPr>
          <w:p w:rsidR="009A1934" w:rsidRPr="00EC3DB5" w:rsidRDefault="009A1934" w:rsidP="00C074F0">
            <w:pPr>
              <w:spacing w:before="120" w:line="276" w:lineRule="auto"/>
              <w:jc w:val="center"/>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before="120" w:line="276" w:lineRule="auto"/>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before="120" w:line="276" w:lineRule="auto"/>
              <w:rPr>
                <w:rFonts w:ascii="Garamond" w:hAnsi="Garamond" w:cstheme="minorHAnsi"/>
                <w:szCs w:val="24"/>
              </w:rPr>
            </w:pPr>
          </w:p>
        </w:tc>
      </w:tr>
      <w:tr w:rsidR="009A1934" w:rsidRPr="00EC3DB5" w:rsidTr="00C074F0">
        <w:tc>
          <w:tcPr>
            <w:tcW w:w="3164" w:type="dxa"/>
            <w:tcBorders>
              <w:top w:val="nil"/>
              <w:bottom w:val="nil"/>
            </w:tcBorders>
            <w:vAlign w:val="center"/>
          </w:tcPr>
          <w:p w:rsidR="009A1934" w:rsidRDefault="009A1934" w:rsidP="00C074F0">
            <w:pPr>
              <w:spacing w:line="276" w:lineRule="auto"/>
              <w:rPr>
                <w:rFonts w:ascii="Garamond" w:hAnsi="Garamond" w:cstheme="minorHAnsi"/>
                <w:szCs w:val="24"/>
              </w:rPr>
            </w:pPr>
            <w:r>
              <w:rPr>
                <w:rFonts w:ascii="Garamond" w:hAnsi="Garamond" w:cstheme="minorHAnsi"/>
                <w:szCs w:val="24"/>
              </w:rPr>
              <w:t xml:space="preserve">   Major malformations</w:t>
            </w:r>
          </w:p>
        </w:tc>
        <w:tc>
          <w:tcPr>
            <w:tcW w:w="1629" w:type="dxa"/>
            <w:tcBorders>
              <w:top w:val="nil"/>
              <w:bottom w:val="nil"/>
            </w:tcBorders>
            <w:vAlign w:val="center"/>
          </w:tcPr>
          <w:p w:rsidR="009A1934" w:rsidRPr="00EC3DB5" w:rsidRDefault="009A1934" w:rsidP="00C074F0">
            <w:pPr>
              <w:spacing w:line="276" w:lineRule="auto"/>
              <w:jc w:val="center"/>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p>
        </w:tc>
      </w:tr>
      <w:tr w:rsidR="009A1934" w:rsidRPr="00EC3DB5" w:rsidTr="00C074F0">
        <w:tc>
          <w:tcPr>
            <w:tcW w:w="3164"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r>
              <w:rPr>
                <w:rFonts w:ascii="Garamond" w:hAnsi="Garamond" w:cstheme="minorHAnsi"/>
                <w:szCs w:val="24"/>
              </w:rPr>
              <w:t xml:space="preserve">   Cardiac </w:t>
            </w:r>
            <w:proofErr w:type="spellStart"/>
            <w:r>
              <w:rPr>
                <w:rFonts w:ascii="Garamond" w:hAnsi="Garamond" w:cstheme="minorHAnsi"/>
                <w:szCs w:val="24"/>
              </w:rPr>
              <w:t>malformatios</w:t>
            </w:r>
            <w:proofErr w:type="spellEnd"/>
          </w:p>
        </w:tc>
        <w:tc>
          <w:tcPr>
            <w:tcW w:w="1629" w:type="dxa"/>
            <w:tcBorders>
              <w:top w:val="nil"/>
              <w:bottom w:val="nil"/>
            </w:tcBorders>
            <w:vAlign w:val="center"/>
          </w:tcPr>
          <w:p w:rsidR="009A1934" w:rsidRPr="00EC3DB5" w:rsidRDefault="009A1934" w:rsidP="00C074F0">
            <w:pPr>
              <w:spacing w:line="276" w:lineRule="auto"/>
              <w:jc w:val="center"/>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jc w:val="center"/>
              <w:rPr>
                <w:rFonts w:ascii="Garamond" w:hAnsi="Garamond" w:cstheme="minorHAnsi"/>
                <w:szCs w:val="24"/>
              </w:rPr>
            </w:pPr>
          </w:p>
        </w:tc>
      </w:tr>
      <w:tr w:rsidR="009A1934" w:rsidRPr="00EC3DB5" w:rsidTr="00C074F0">
        <w:tc>
          <w:tcPr>
            <w:tcW w:w="3164" w:type="dxa"/>
            <w:tcBorders>
              <w:top w:val="nil"/>
              <w:bottom w:val="nil"/>
            </w:tcBorders>
            <w:vAlign w:val="center"/>
          </w:tcPr>
          <w:p w:rsidR="009A1934" w:rsidRPr="00EC3DB5" w:rsidRDefault="009A1934" w:rsidP="00C074F0">
            <w:pPr>
              <w:spacing w:before="120" w:line="276" w:lineRule="auto"/>
              <w:rPr>
                <w:rFonts w:ascii="Garamond" w:hAnsi="Garamond" w:cstheme="minorHAnsi"/>
                <w:szCs w:val="24"/>
              </w:rPr>
            </w:pPr>
            <w:r>
              <w:rPr>
                <w:rFonts w:ascii="Garamond" w:hAnsi="Garamond" w:cstheme="minorHAnsi"/>
                <w:szCs w:val="24"/>
              </w:rPr>
              <w:t>Less restrictive entry criteria</w:t>
            </w:r>
          </w:p>
        </w:tc>
        <w:tc>
          <w:tcPr>
            <w:tcW w:w="1629" w:type="dxa"/>
            <w:tcBorders>
              <w:top w:val="nil"/>
              <w:bottom w:val="nil"/>
            </w:tcBorders>
            <w:vAlign w:val="center"/>
          </w:tcPr>
          <w:p w:rsidR="009A1934" w:rsidRPr="00EC3DB5" w:rsidRDefault="009A1934" w:rsidP="00C074F0">
            <w:pPr>
              <w:spacing w:before="120" w:line="276" w:lineRule="auto"/>
              <w:jc w:val="center"/>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before="120" w:line="276" w:lineRule="auto"/>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before="120" w:line="276" w:lineRule="auto"/>
              <w:rPr>
                <w:rFonts w:ascii="Garamond" w:hAnsi="Garamond" w:cstheme="minorHAnsi"/>
                <w:szCs w:val="24"/>
              </w:rPr>
            </w:pPr>
          </w:p>
        </w:tc>
      </w:tr>
      <w:tr w:rsidR="009A1934" w:rsidRPr="00EC3DB5" w:rsidTr="00C074F0">
        <w:tc>
          <w:tcPr>
            <w:tcW w:w="3164" w:type="dxa"/>
            <w:tcBorders>
              <w:top w:val="nil"/>
              <w:bottom w:val="nil"/>
            </w:tcBorders>
            <w:vAlign w:val="center"/>
          </w:tcPr>
          <w:p w:rsidR="009A1934" w:rsidRDefault="009A1934" w:rsidP="00C074F0">
            <w:pPr>
              <w:spacing w:line="276" w:lineRule="auto"/>
              <w:rPr>
                <w:rFonts w:ascii="Garamond" w:hAnsi="Garamond" w:cstheme="minorHAnsi"/>
                <w:szCs w:val="24"/>
              </w:rPr>
            </w:pPr>
            <w:r>
              <w:rPr>
                <w:rFonts w:ascii="Garamond" w:hAnsi="Garamond" w:cstheme="minorHAnsi"/>
                <w:szCs w:val="24"/>
              </w:rPr>
              <w:t xml:space="preserve">   Major malformations</w:t>
            </w:r>
          </w:p>
        </w:tc>
        <w:tc>
          <w:tcPr>
            <w:tcW w:w="1629" w:type="dxa"/>
            <w:tcBorders>
              <w:top w:val="nil"/>
              <w:bottom w:val="nil"/>
            </w:tcBorders>
            <w:vAlign w:val="center"/>
          </w:tcPr>
          <w:p w:rsidR="009A1934" w:rsidRPr="00EC3DB5" w:rsidRDefault="009A1934" w:rsidP="00C074F0">
            <w:pPr>
              <w:spacing w:line="276" w:lineRule="auto"/>
              <w:jc w:val="center"/>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p>
        </w:tc>
      </w:tr>
      <w:tr w:rsidR="009A1934" w:rsidRPr="00EC3DB5" w:rsidTr="00C074F0">
        <w:tc>
          <w:tcPr>
            <w:tcW w:w="3164"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r>
              <w:rPr>
                <w:rFonts w:ascii="Garamond" w:hAnsi="Garamond" w:cstheme="minorHAnsi"/>
                <w:szCs w:val="24"/>
              </w:rPr>
              <w:t xml:space="preserve">   Cardiac </w:t>
            </w:r>
            <w:proofErr w:type="spellStart"/>
            <w:r>
              <w:rPr>
                <w:rFonts w:ascii="Garamond" w:hAnsi="Garamond" w:cstheme="minorHAnsi"/>
                <w:szCs w:val="24"/>
              </w:rPr>
              <w:t>malformatios</w:t>
            </w:r>
            <w:proofErr w:type="spellEnd"/>
          </w:p>
        </w:tc>
        <w:tc>
          <w:tcPr>
            <w:tcW w:w="1629" w:type="dxa"/>
            <w:tcBorders>
              <w:top w:val="nil"/>
              <w:bottom w:val="nil"/>
            </w:tcBorders>
            <w:vAlign w:val="center"/>
          </w:tcPr>
          <w:p w:rsidR="009A1934" w:rsidRPr="00EC3DB5" w:rsidRDefault="009A1934" w:rsidP="00C074F0">
            <w:pPr>
              <w:spacing w:line="276" w:lineRule="auto"/>
              <w:jc w:val="center"/>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rPr>
                <w:rFonts w:ascii="Garamond" w:hAnsi="Garamond" w:cstheme="minorHAnsi"/>
                <w:szCs w:val="24"/>
              </w:rPr>
            </w:pPr>
          </w:p>
        </w:tc>
        <w:tc>
          <w:tcPr>
            <w:tcW w:w="1630" w:type="dxa"/>
            <w:tcBorders>
              <w:top w:val="nil"/>
              <w:bottom w:val="nil"/>
            </w:tcBorders>
            <w:vAlign w:val="center"/>
          </w:tcPr>
          <w:p w:rsidR="009A1934" w:rsidRPr="00EC3DB5" w:rsidRDefault="009A1934" w:rsidP="00C074F0">
            <w:pPr>
              <w:spacing w:line="276" w:lineRule="auto"/>
              <w:jc w:val="center"/>
              <w:rPr>
                <w:rFonts w:ascii="Garamond" w:hAnsi="Garamond" w:cstheme="minorHAnsi"/>
                <w:szCs w:val="24"/>
              </w:rPr>
            </w:pPr>
          </w:p>
        </w:tc>
      </w:tr>
      <w:tr w:rsidR="009A1934" w:rsidRPr="00453256" w:rsidTr="009A1934">
        <w:trPr>
          <w:trHeight w:val="414"/>
        </w:trPr>
        <w:tc>
          <w:tcPr>
            <w:tcW w:w="8053" w:type="dxa"/>
            <w:gridSpan w:val="4"/>
            <w:tcBorders>
              <w:top w:val="single" w:sz="4" w:space="0" w:color="auto"/>
              <w:bottom w:val="nil"/>
            </w:tcBorders>
            <w:vAlign w:val="center"/>
          </w:tcPr>
          <w:p w:rsidR="009A1934" w:rsidRPr="00453256" w:rsidRDefault="009A1934" w:rsidP="00C074F0">
            <w:pPr>
              <w:jc w:val="both"/>
              <w:rPr>
                <w:rFonts w:ascii="Garamond" w:hAnsi="Garamond" w:cstheme="minorHAnsi"/>
                <w:szCs w:val="24"/>
              </w:rPr>
            </w:pPr>
          </w:p>
        </w:tc>
      </w:tr>
    </w:tbl>
    <w:p w:rsidR="00893E33" w:rsidRPr="00453256" w:rsidRDefault="00893E33">
      <w:pPr>
        <w:spacing w:after="200" w:line="276" w:lineRule="auto"/>
        <w:rPr>
          <w:rFonts w:ascii="Garamond" w:hAnsi="Garamond" w:cstheme="minorHAnsi"/>
          <w:szCs w:val="24"/>
        </w:rPr>
      </w:pPr>
    </w:p>
    <w:p w:rsidR="003C3A3F" w:rsidRDefault="003C3A3F">
      <w:pPr>
        <w:spacing w:after="200" w:line="276" w:lineRule="auto"/>
        <w:rPr>
          <w:rFonts w:ascii="Garamond" w:hAnsi="Garamond" w:cstheme="minorHAnsi"/>
          <w:szCs w:val="24"/>
        </w:rPr>
      </w:pPr>
      <w:r>
        <w:rPr>
          <w:rFonts w:ascii="Garamond" w:hAnsi="Garamond" w:cstheme="minorHAnsi"/>
          <w:szCs w:val="24"/>
        </w:rPr>
        <w:br w:type="page"/>
      </w:r>
    </w:p>
    <w:p w:rsidR="00A817DF" w:rsidRPr="00A817DF" w:rsidRDefault="00F30688" w:rsidP="00A817DF">
      <w:pPr>
        <w:jc w:val="center"/>
        <w:rPr>
          <w:noProof/>
          <w:szCs w:val="24"/>
        </w:rPr>
      </w:pPr>
      <w:r>
        <w:rPr>
          <w:rFonts w:ascii="Garamond" w:hAnsi="Garamond" w:cstheme="minorHAnsi"/>
          <w:szCs w:val="24"/>
        </w:rPr>
        <w:lastRenderedPageBreak/>
        <w:fldChar w:fldCharType="begin"/>
      </w:r>
      <w:r w:rsidR="00893E33">
        <w:rPr>
          <w:rFonts w:ascii="Garamond" w:hAnsi="Garamond" w:cstheme="minorHAnsi"/>
          <w:szCs w:val="24"/>
        </w:rPr>
        <w:instrText xml:space="preserve"> ADDIN REFMGR.REFLIST </w:instrText>
      </w:r>
      <w:r>
        <w:rPr>
          <w:rFonts w:ascii="Garamond" w:hAnsi="Garamond" w:cstheme="minorHAnsi"/>
          <w:szCs w:val="24"/>
        </w:rPr>
        <w:fldChar w:fldCharType="separate"/>
      </w:r>
      <w:r w:rsidR="00A817DF" w:rsidRPr="00A817DF">
        <w:rPr>
          <w:noProof/>
          <w:szCs w:val="24"/>
        </w:rPr>
        <w:t>References</w:t>
      </w:r>
    </w:p>
    <w:p w:rsidR="00A817DF" w:rsidRPr="00A817DF" w:rsidRDefault="00A817DF" w:rsidP="00A817DF">
      <w:pPr>
        <w:jc w:val="center"/>
        <w:rPr>
          <w:noProof/>
          <w:szCs w:val="24"/>
        </w:rPr>
      </w:pPr>
    </w:p>
    <w:p w:rsidR="00A817DF" w:rsidRDefault="00A817DF" w:rsidP="00A817DF">
      <w:pPr>
        <w:tabs>
          <w:tab w:val="right" w:pos="540"/>
          <w:tab w:val="left" w:pos="720"/>
        </w:tabs>
        <w:spacing w:after="240"/>
        <w:ind w:left="720" w:hanging="720"/>
        <w:jc w:val="both"/>
        <w:rPr>
          <w:noProof/>
          <w:szCs w:val="24"/>
        </w:rPr>
      </w:pPr>
      <w:r>
        <w:rPr>
          <w:noProof/>
          <w:szCs w:val="24"/>
        </w:rPr>
        <w:tab/>
        <w:t xml:space="preserve">(1) </w:t>
      </w:r>
      <w:r>
        <w:rPr>
          <w:noProof/>
          <w:szCs w:val="24"/>
        </w:rPr>
        <w:tab/>
        <w:t>Lynge E, Sandegaard JL, Rebolj M. The Danish National Patient Register. Scand J Public Health 2011;39:30-3.</w:t>
      </w:r>
    </w:p>
    <w:p w:rsidR="00A817DF" w:rsidRDefault="00A817DF" w:rsidP="00A817DF">
      <w:pPr>
        <w:tabs>
          <w:tab w:val="right" w:pos="540"/>
          <w:tab w:val="left" w:pos="720"/>
        </w:tabs>
        <w:spacing w:after="240"/>
        <w:ind w:left="720" w:hanging="720"/>
        <w:jc w:val="both"/>
        <w:rPr>
          <w:noProof/>
          <w:szCs w:val="24"/>
        </w:rPr>
      </w:pPr>
      <w:r>
        <w:rPr>
          <w:noProof/>
          <w:szCs w:val="24"/>
        </w:rPr>
        <w:tab/>
        <w:t xml:space="preserve">(2) </w:t>
      </w:r>
      <w:r>
        <w:rPr>
          <w:noProof/>
          <w:szCs w:val="24"/>
        </w:rPr>
        <w:tab/>
        <w:t>Knudsen LB, Olsen J. The Danish Medical Birth Registry. Dan Med Bull 1998;45:320-3.</w:t>
      </w:r>
    </w:p>
    <w:p w:rsidR="00A817DF" w:rsidRDefault="00A817DF" w:rsidP="00A817DF">
      <w:pPr>
        <w:tabs>
          <w:tab w:val="right" w:pos="540"/>
          <w:tab w:val="left" w:pos="720"/>
        </w:tabs>
        <w:spacing w:after="240"/>
        <w:ind w:left="720" w:hanging="720"/>
        <w:jc w:val="both"/>
        <w:rPr>
          <w:noProof/>
          <w:szCs w:val="24"/>
        </w:rPr>
      </w:pPr>
      <w:r>
        <w:rPr>
          <w:noProof/>
          <w:szCs w:val="24"/>
        </w:rPr>
        <w:tab/>
        <w:t xml:space="preserve">(3) </w:t>
      </w:r>
      <w:r>
        <w:rPr>
          <w:noProof/>
          <w:szCs w:val="24"/>
        </w:rPr>
        <w:tab/>
        <w:t>Kildemoes HW, Sorensen HT, Hallas J. The Danish National Prescription Registry. Scand J Public Health 2011;39:38-41.</w:t>
      </w:r>
    </w:p>
    <w:p w:rsidR="00A817DF" w:rsidRDefault="00A817DF" w:rsidP="00A817DF">
      <w:pPr>
        <w:tabs>
          <w:tab w:val="right" w:pos="540"/>
          <w:tab w:val="left" w:pos="720"/>
        </w:tabs>
        <w:spacing w:after="240"/>
        <w:ind w:left="720" w:hanging="720"/>
        <w:jc w:val="both"/>
        <w:rPr>
          <w:noProof/>
          <w:szCs w:val="24"/>
        </w:rPr>
      </w:pPr>
      <w:r>
        <w:rPr>
          <w:noProof/>
          <w:szCs w:val="24"/>
        </w:rPr>
        <w:tab/>
        <w:t xml:space="preserve">(4) </w:t>
      </w:r>
      <w:r>
        <w:rPr>
          <w:noProof/>
          <w:szCs w:val="24"/>
        </w:rPr>
        <w:tab/>
        <w:t xml:space="preserve">WHO Collaborating Centre for Drug Statistics Methodology. </w:t>
      </w:r>
      <w:r w:rsidRPr="00A817DF">
        <w:rPr>
          <w:rFonts w:ascii="TimesNewRoman" w:hAnsi="TimesNewRoman"/>
          <w:noProof/>
          <w:szCs w:val="24"/>
        </w:rPr>
        <w:t>Guidelines for ATC classification and DDD assignment 2013</w:t>
      </w:r>
      <w:r>
        <w:rPr>
          <w:noProof/>
          <w:szCs w:val="24"/>
        </w:rPr>
        <w:t>. 2012 Oslo.</w:t>
      </w:r>
    </w:p>
    <w:p w:rsidR="00A817DF" w:rsidRDefault="00A817DF" w:rsidP="00A817DF">
      <w:pPr>
        <w:tabs>
          <w:tab w:val="right" w:pos="540"/>
          <w:tab w:val="left" w:pos="720"/>
        </w:tabs>
        <w:spacing w:after="240"/>
        <w:ind w:left="720" w:hanging="720"/>
        <w:jc w:val="both"/>
        <w:rPr>
          <w:noProof/>
          <w:szCs w:val="24"/>
        </w:rPr>
      </w:pPr>
      <w:r>
        <w:rPr>
          <w:noProof/>
          <w:szCs w:val="24"/>
        </w:rPr>
        <w:tab/>
        <w:t xml:space="preserve">(5) </w:t>
      </w:r>
      <w:r>
        <w:rPr>
          <w:noProof/>
          <w:szCs w:val="24"/>
        </w:rPr>
        <w:tab/>
        <w:t>Pedersen CB. The Danish Civil Registration System. Scand J Public Health 2011;39:22-5.</w:t>
      </w:r>
    </w:p>
    <w:p w:rsidR="00A817DF" w:rsidRDefault="00A817DF" w:rsidP="00A817DF">
      <w:pPr>
        <w:tabs>
          <w:tab w:val="right" w:pos="540"/>
          <w:tab w:val="left" w:pos="720"/>
        </w:tabs>
        <w:spacing w:after="240"/>
        <w:ind w:left="720" w:hanging="720"/>
        <w:jc w:val="both"/>
        <w:rPr>
          <w:noProof/>
          <w:szCs w:val="24"/>
        </w:rPr>
      </w:pPr>
      <w:r>
        <w:rPr>
          <w:noProof/>
          <w:szCs w:val="24"/>
        </w:rPr>
        <w:tab/>
        <w:t xml:space="preserve">(6) </w:t>
      </w:r>
      <w:r>
        <w:rPr>
          <w:noProof/>
          <w:szCs w:val="24"/>
        </w:rPr>
        <w:tab/>
        <w:t>Baadsgaard M, Quitzau J. Danish registers on personal income and transfer payments. Scand J Public Health 2011;39:103-5.</w:t>
      </w:r>
    </w:p>
    <w:p w:rsidR="00A817DF" w:rsidRDefault="00A817DF" w:rsidP="00A817DF">
      <w:pPr>
        <w:tabs>
          <w:tab w:val="right" w:pos="540"/>
          <w:tab w:val="left" w:pos="720"/>
        </w:tabs>
        <w:spacing w:after="240"/>
        <w:ind w:left="720" w:hanging="720"/>
        <w:jc w:val="both"/>
        <w:rPr>
          <w:noProof/>
          <w:szCs w:val="24"/>
        </w:rPr>
      </w:pPr>
      <w:r>
        <w:rPr>
          <w:noProof/>
          <w:szCs w:val="24"/>
        </w:rPr>
        <w:tab/>
        <w:t xml:space="preserve">(7) </w:t>
      </w:r>
      <w:r>
        <w:rPr>
          <w:noProof/>
          <w:szCs w:val="24"/>
        </w:rPr>
        <w:tab/>
        <w:t>Jensen VM, Rasmussen AW. Danish Education Registers. Scand J Public Health 2011;39:91-4.</w:t>
      </w:r>
    </w:p>
    <w:p w:rsidR="00A817DF" w:rsidRDefault="00A817DF" w:rsidP="00A817DF">
      <w:pPr>
        <w:tabs>
          <w:tab w:val="right" w:pos="540"/>
          <w:tab w:val="left" w:pos="720"/>
        </w:tabs>
        <w:spacing w:after="240"/>
        <w:ind w:left="720" w:hanging="720"/>
        <w:jc w:val="both"/>
        <w:rPr>
          <w:noProof/>
          <w:szCs w:val="24"/>
        </w:rPr>
      </w:pPr>
      <w:r>
        <w:rPr>
          <w:noProof/>
          <w:szCs w:val="24"/>
        </w:rPr>
        <w:tab/>
        <w:t xml:space="preserve">(8) </w:t>
      </w:r>
      <w:r>
        <w:rPr>
          <w:noProof/>
          <w:szCs w:val="24"/>
        </w:rPr>
        <w:tab/>
        <w:t>Briggs G, Freeman R, Yaffe S. Drugs in Pregnancy and Lactation 9th ed. 2011. Lippincott, Williams &amp; Wilkins: Philadelphia, USA.</w:t>
      </w:r>
    </w:p>
    <w:p w:rsidR="00A817DF" w:rsidRDefault="00A817DF" w:rsidP="00A817DF">
      <w:pPr>
        <w:tabs>
          <w:tab w:val="right" w:pos="540"/>
          <w:tab w:val="left" w:pos="720"/>
        </w:tabs>
        <w:spacing w:after="240"/>
        <w:ind w:left="720" w:hanging="720"/>
        <w:jc w:val="both"/>
        <w:rPr>
          <w:noProof/>
          <w:szCs w:val="24"/>
        </w:rPr>
      </w:pPr>
      <w:r>
        <w:rPr>
          <w:noProof/>
          <w:szCs w:val="24"/>
        </w:rPr>
        <w:tab/>
        <w:t xml:space="preserve">(9) </w:t>
      </w:r>
      <w:r>
        <w:rPr>
          <w:noProof/>
          <w:szCs w:val="24"/>
        </w:rPr>
        <w:tab/>
        <w:t>Glynn RJ, Schneeweiss S, Sturmer T. Indications for propensity scores and review of their use in pharmacoepidemiology. Basic Clin Pharmacol Toxicol 2006;98:253-9.</w:t>
      </w:r>
    </w:p>
    <w:p w:rsidR="00A817DF" w:rsidRDefault="00A817DF" w:rsidP="00A817DF">
      <w:pPr>
        <w:tabs>
          <w:tab w:val="right" w:pos="540"/>
          <w:tab w:val="left" w:pos="720"/>
        </w:tabs>
        <w:spacing w:after="240"/>
        <w:ind w:left="720" w:hanging="720"/>
        <w:jc w:val="both"/>
        <w:rPr>
          <w:noProof/>
          <w:szCs w:val="24"/>
        </w:rPr>
      </w:pPr>
      <w:r>
        <w:rPr>
          <w:noProof/>
          <w:szCs w:val="24"/>
        </w:rPr>
        <w:tab/>
        <w:t xml:space="preserve">(10) </w:t>
      </w:r>
      <w:r>
        <w:rPr>
          <w:noProof/>
          <w:szCs w:val="24"/>
        </w:rPr>
        <w:tab/>
        <w:t>Rassen JA, Shelat AA, Myers J, Glynn RJ, Rothman KJ, Schneeweiss S. One-to-many propensity score matching in cohort studies. Pharmacoepidemiol Drug Saf 2012;21 Suppl 2:69-80.</w:t>
      </w:r>
    </w:p>
    <w:p w:rsidR="00A817DF" w:rsidRDefault="00A817DF" w:rsidP="00A817DF">
      <w:pPr>
        <w:tabs>
          <w:tab w:val="right" w:pos="540"/>
          <w:tab w:val="left" w:pos="720"/>
        </w:tabs>
        <w:ind w:left="720" w:hanging="720"/>
        <w:jc w:val="both"/>
        <w:rPr>
          <w:noProof/>
          <w:szCs w:val="24"/>
        </w:rPr>
      </w:pPr>
      <w:r>
        <w:rPr>
          <w:noProof/>
          <w:szCs w:val="24"/>
        </w:rPr>
        <w:tab/>
        <w:t xml:space="preserve">(11) </w:t>
      </w:r>
      <w:r>
        <w:rPr>
          <w:noProof/>
          <w:szCs w:val="24"/>
        </w:rPr>
        <w:tab/>
        <w:t>European Surveillance of Congenital Anomalies: EUROCAT Guide 1.3 and reference documents. 2005. Newtownabbey Co Antrim: University of Ulster:</w:t>
      </w:r>
    </w:p>
    <w:p w:rsidR="00A817DF" w:rsidRDefault="00A817DF" w:rsidP="00A817DF">
      <w:pPr>
        <w:tabs>
          <w:tab w:val="right" w:pos="540"/>
          <w:tab w:val="left" w:pos="720"/>
        </w:tabs>
        <w:ind w:left="720" w:hanging="720"/>
        <w:jc w:val="both"/>
        <w:rPr>
          <w:noProof/>
          <w:szCs w:val="24"/>
        </w:rPr>
      </w:pPr>
    </w:p>
    <w:p w:rsidR="00C41742" w:rsidRPr="00EC3DB5" w:rsidRDefault="00F30688" w:rsidP="00FF2FCE">
      <w:pPr>
        <w:spacing w:line="360" w:lineRule="auto"/>
        <w:jc w:val="both"/>
        <w:rPr>
          <w:rFonts w:ascii="Garamond" w:hAnsi="Garamond" w:cstheme="minorHAnsi"/>
          <w:szCs w:val="24"/>
        </w:rPr>
      </w:pPr>
      <w:r>
        <w:rPr>
          <w:rFonts w:ascii="Garamond" w:hAnsi="Garamond" w:cstheme="minorHAnsi"/>
          <w:szCs w:val="24"/>
        </w:rPr>
        <w:fldChar w:fldCharType="end"/>
      </w:r>
    </w:p>
    <w:sectPr w:rsidR="00C41742" w:rsidRPr="00EC3DB5" w:rsidSect="007970EE">
      <w:footerReference w:type="default" r:id="rId10"/>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FD6" w:rsidRDefault="001D6FD6" w:rsidP="00400A04">
      <w:r>
        <w:separator/>
      </w:r>
    </w:p>
  </w:endnote>
  <w:endnote w:type="continuationSeparator" w:id="0">
    <w:p w:rsidR="001D6FD6" w:rsidRDefault="001D6FD6" w:rsidP="0040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8729"/>
      <w:docPartObj>
        <w:docPartGallery w:val="Page Numbers (Bottom of Page)"/>
        <w:docPartUnique/>
      </w:docPartObj>
    </w:sdtPr>
    <w:sdtEndPr/>
    <w:sdtContent>
      <w:sdt>
        <w:sdtPr>
          <w:id w:val="565050523"/>
          <w:docPartObj>
            <w:docPartGallery w:val="Page Numbers (Top of Page)"/>
            <w:docPartUnique/>
          </w:docPartObj>
        </w:sdtPr>
        <w:sdtEndPr/>
        <w:sdtContent>
          <w:p w:rsidR="00790270" w:rsidRDefault="00790270">
            <w:pPr>
              <w:pStyle w:val="Sidefod"/>
              <w:jc w:val="right"/>
            </w:pPr>
            <w:r>
              <w:t xml:space="preserve">Page </w:t>
            </w:r>
            <w:r w:rsidR="00F30688">
              <w:rPr>
                <w:b/>
                <w:szCs w:val="24"/>
              </w:rPr>
              <w:fldChar w:fldCharType="begin"/>
            </w:r>
            <w:r>
              <w:rPr>
                <w:b/>
              </w:rPr>
              <w:instrText xml:space="preserve"> PAGE </w:instrText>
            </w:r>
            <w:r w:rsidR="00F30688">
              <w:rPr>
                <w:b/>
                <w:szCs w:val="24"/>
              </w:rPr>
              <w:fldChar w:fldCharType="separate"/>
            </w:r>
            <w:r w:rsidR="0060367C">
              <w:rPr>
                <w:b/>
                <w:noProof/>
              </w:rPr>
              <w:t>6</w:t>
            </w:r>
            <w:r w:rsidR="00F30688">
              <w:rPr>
                <w:b/>
                <w:szCs w:val="24"/>
              </w:rPr>
              <w:fldChar w:fldCharType="end"/>
            </w:r>
            <w:r>
              <w:t xml:space="preserve"> of </w:t>
            </w:r>
            <w:r w:rsidR="00F30688">
              <w:rPr>
                <w:b/>
                <w:szCs w:val="24"/>
              </w:rPr>
              <w:fldChar w:fldCharType="begin"/>
            </w:r>
            <w:r>
              <w:rPr>
                <w:b/>
              </w:rPr>
              <w:instrText xml:space="preserve"> NUMPAGES  </w:instrText>
            </w:r>
            <w:r w:rsidR="00F30688">
              <w:rPr>
                <w:b/>
                <w:szCs w:val="24"/>
              </w:rPr>
              <w:fldChar w:fldCharType="separate"/>
            </w:r>
            <w:r w:rsidR="0060367C">
              <w:rPr>
                <w:b/>
                <w:noProof/>
              </w:rPr>
              <w:t>9</w:t>
            </w:r>
            <w:r w:rsidR="00F30688">
              <w:rPr>
                <w:b/>
                <w:szCs w:val="24"/>
              </w:rPr>
              <w:fldChar w:fldCharType="end"/>
            </w:r>
          </w:p>
        </w:sdtContent>
      </w:sdt>
    </w:sdtContent>
  </w:sdt>
  <w:p w:rsidR="00790270" w:rsidRDefault="007902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FD6" w:rsidRDefault="001D6FD6" w:rsidP="00400A04">
      <w:r>
        <w:separator/>
      </w:r>
    </w:p>
  </w:footnote>
  <w:footnote w:type="continuationSeparator" w:id="0">
    <w:p w:rsidR="001D6FD6" w:rsidRDefault="001D6FD6" w:rsidP="00400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D02BB"/>
    <w:multiLevelType w:val="hybridMultilevel"/>
    <w:tmpl w:val="E132C1D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1304"/>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REFMGR.InstantFormat" w:val="&lt;ENInstantFormat&gt;&lt;Enabled&gt;1&lt;/Enabled&gt;&lt;ScanUnformatted&gt;1&lt;/ScanUnformatted&gt;&lt;ScanChanges&gt;1&lt;/ScanChanges&gt;&lt;/ENInstantFormat&gt;"/>
    <w:docVar w:name="REFMGR.Layout" w:val="&lt;ENLayout&gt;&lt;Style&gt;C:\Anton\Dropbox\[2] Arbejde\[4] SDU\Basisdata\Vancouver.os&lt;/Style&gt;&lt;LeftDelim&gt;{&lt;/LeftDelim&gt;&lt;RightDelim&gt;}&lt;/RightDelim&gt;&lt;FontName&gt;Times New Roman&lt;/FontName&gt;&lt;FontSize&gt;12&lt;/FontSize&gt;&lt;ReflistTitle&gt;References&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MPH_Pregnancy&lt;/item&gt;&lt;/Libraries&gt;&lt;/ENLibraries&gt;"/>
  </w:docVars>
  <w:rsids>
    <w:rsidRoot w:val="009E1A9E"/>
    <w:rsid w:val="00012CD4"/>
    <w:rsid w:val="00013FEB"/>
    <w:rsid w:val="00034209"/>
    <w:rsid w:val="00041BB9"/>
    <w:rsid w:val="00060BBE"/>
    <w:rsid w:val="00064EFB"/>
    <w:rsid w:val="000660D3"/>
    <w:rsid w:val="00071248"/>
    <w:rsid w:val="00073F47"/>
    <w:rsid w:val="00081864"/>
    <w:rsid w:val="00097C51"/>
    <w:rsid w:val="000A2DC3"/>
    <w:rsid w:val="000B1A17"/>
    <w:rsid w:val="000C382F"/>
    <w:rsid w:val="000C39A0"/>
    <w:rsid w:val="000D2568"/>
    <w:rsid w:val="000D3D2C"/>
    <w:rsid w:val="000E4CA0"/>
    <w:rsid w:val="0011415B"/>
    <w:rsid w:val="001169A8"/>
    <w:rsid w:val="00117748"/>
    <w:rsid w:val="001226EB"/>
    <w:rsid w:val="001246E8"/>
    <w:rsid w:val="00132630"/>
    <w:rsid w:val="00134181"/>
    <w:rsid w:val="001635D8"/>
    <w:rsid w:val="0017008A"/>
    <w:rsid w:val="00173F8B"/>
    <w:rsid w:val="00174E9C"/>
    <w:rsid w:val="00194A2B"/>
    <w:rsid w:val="001B0881"/>
    <w:rsid w:val="001C4C70"/>
    <w:rsid w:val="001C720F"/>
    <w:rsid w:val="001D6FD6"/>
    <w:rsid w:val="001D7ADA"/>
    <w:rsid w:val="001F3815"/>
    <w:rsid w:val="002063AE"/>
    <w:rsid w:val="00225F45"/>
    <w:rsid w:val="00230119"/>
    <w:rsid w:val="002309B1"/>
    <w:rsid w:val="0024382D"/>
    <w:rsid w:val="002533F0"/>
    <w:rsid w:val="0025621C"/>
    <w:rsid w:val="00263876"/>
    <w:rsid w:val="00264674"/>
    <w:rsid w:val="00265B17"/>
    <w:rsid w:val="0028056C"/>
    <w:rsid w:val="00291509"/>
    <w:rsid w:val="00292A4E"/>
    <w:rsid w:val="00293747"/>
    <w:rsid w:val="00297C1F"/>
    <w:rsid w:val="00297CFB"/>
    <w:rsid w:val="002A340B"/>
    <w:rsid w:val="002B2FB7"/>
    <w:rsid w:val="002C2965"/>
    <w:rsid w:val="002D2504"/>
    <w:rsid w:val="002D43DD"/>
    <w:rsid w:val="002F08DA"/>
    <w:rsid w:val="002F29D4"/>
    <w:rsid w:val="00330E85"/>
    <w:rsid w:val="003356F0"/>
    <w:rsid w:val="003474A6"/>
    <w:rsid w:val="00350548"/>
    <w:rsid w:val="00351BA6"/>
    <w:rsid w:val="00364A2E"/>
    <w:rsid w:val="00380965"/>
    <w:rsid w:val="00394622"/>
    <w:rsid w:val="003A3B22"/>
    <w:rsid w:val="003A6647"/>
    <w:rsid w:val="003B2C6D"/>
    <w:rsid w:val="003B368D"/>
    <w:rsid w:val="003B547C"/>
    <w:rsid w:val="003B73EF"/>
    <w:rsid w:val="003C2309"/>
    <w:rsid w:val="003C3A3F"/>
    <w:rsid w:val="003C3CAD"/>
    <w:rsid w:val="003C4A34"/>
    <w:rsid w:val="003D520A"/>
    <w:rsid w:val="003D6319"/>
    <w:rsid w:val="00400A04"/>
    <w:rsid w:val="004028A6"/>
    <w:rsid w:val="004114A7"/>
    <w:rsid w:val="00416D4B"/>
    <w:rsid w:val="00444EF3"/>
    <w:rsid w:val="00452943"/>
    <w:rsid w:val="00453256"/>
    <w:rsid w:val="004636BF"/>
    <w:rsid w:val="00470827"/>
    <w:rsid w:val="004A207D"/>
    <w:rsid w:val="004A36B1"/>
    <w:rsid w:val="004B0EB8"/>
    <w:rsid w:val="004C0795"/>
    <w:rsid w:val="004C1541"/>
    <w:rsid w:val="004C18BE"/>
    <w:rsid w:val="004C73BD"/>
    <w:rsid w:val="004D7A3E"/>
    <w:rsid w:val="005225B9"/>
    <w:rsid w:val="0052496D"/>
    <w:rsid w:val="00524C52"/>
    <w:rsid w:val="00530AD8"/>
    <w:rsid w:val="005414DA"/>
    <w:rsid w:val="005601AD"/>
    <w:rsid w:val="00580259"/>
    <w:rsid w:val="00581631"/>
    <w:rsid w:val="00581AC6"/>
    <w:rsid w:val="00591221"/>
    <w:rsid w:val="00592C34"/>
    <w:rsid w:val="00597DCC"/>
    <w:rsid w:val="005B0DA1"/>
    <w:rsid w:val="005B1BEC"/>
    <w:rsid w:val="005C26CD"/>
    <w:rsid w:val="005C754A"/>
    <w:rsid w:val="005D07AE"/>
    <w:rsid w:val="005D0C44"/>
    <w:rsid w:val="005E122B"/>
    <w:rsid w:val="005E4D12"/>
    <w:rsid w:val="00601823"/>
    <w:rsid w:val="0060367C"/>
    <w:rsid w:val="00621810"/>
    <w:rsid w:val="00622F8D"/>
    <w:rsid w:val="006362E4"/>
    <w:rsid w:val="00636BB4"/>
    <w:rsid w:val="00637F2B"/>
    <w:rsid w:val="00642375"/>
    <w:rsid w:val="00657924"/>
    <w:rsid w:val="00693245"/>
    <w:rsid w:val="00697DAE"/>
    <w:rsid w:val="006A1BAF"/>
    <w:rsid w:val="006A39EC"/>
    <w:rsid w:val="006C49AA"/>
    <w:rsid w:val="006C4DE9"/>
    <w:rsid w:val="006D3938"/>
    <w:rsid w:val="006D44FE"/>
    <w:rsid w:val="007227EA"/>
    <w:rsid w:val="00782E7E"/>
    <w:rsid w:val="00790270"/>
    <w:rsid w:val="007970EE"/>
    <w:rsid w:val="007A3BC4"/>
    <w:rsid w:val="007A6BA5"/>
    <w:rsid w:val="007B182A"/>
    <w:rsid w:val="007B5D3A"/>
    <w:rsid w:val="007F1ACB"/>
    <w:rsid w:val="007F3A19"/>
    <w:rsid w:val="00813513"/>
    <w:rsid w:val="00823CD2"/>
    <w:rsid w:val="0083025D"/>
    <w:rsid w:val="00856C12"/>
    <w:rsid w:val="00880F90"/>
    <w:rsid w:val="00886D23"/>
    <w:rsid w:val="00893E33"/>
    <w:rsid w:val="00897ACB"/>
    <w:rsid w:val="008A46DE"/>
    <w:rsid w:val="008A61F6"/>
    <w:rsid w:val="008B0A03"/>
    <w:rsid w:val="008B5762"/>
    <w:rsid w:val="008C6F61"/>
    <w:rsid w:val="008D2484"/>
    <w:rsid w:val="008E6ECF"/>
    <w:rsid w:val="008F007C"/>
    <w:rsid w:val="008F4F52"/>
    <w:rsid w:val="00904C13"/>
    <w:rsid w:val="00907F39"/>
    <w:rsid w:val="009147F7"/>
    <w:rsid w:val="00915FDC"/>
    <w:rsid w:val="009220FA"/>
    <w:rsid w:val="00926C78"/>
    <w:rsid w:val="009366DA"/>
    <w:rsid w:val="00937A37"/>
    <w:rsid w:val="009448ED"/>
    <w:rsid w:val="009500D4"/>
    <w:rsid w:val="00952F73"/>
    <w:rsid w:val="00961FE9"/>
    <w:rsid w:val="009743B6"/>
    <w:rsid w:val="00976B64"/>
    <w:rsid w:val="009A1934"/>
    <w:rsid w:val="009A348E"/>
    <w:rsid w:val="009A5328"/>
    <w:rsid w:val="009A5810"/>
    <w:rsid w:val="009B4834"/>
    <w:rsid w:val="009B4B73"/>
    <w:rsid w:val="009C1925"/>
    <w:rsid w:val="009D7D27"/>
    <w:rsid w:val="009E1A9E"/>
    <w:rsid w:val="009E304E"/>
    <w:rsid w:val="009F1A76"/>
    <w:rsid w:val="009F449D"/>
    <w:rsid w:val="00A02E94"/>
    <w:rsid w:val="00A05847"/>
    <w:rsid w:val="00A4705E"/>
    <w:rsid w:val="00A52913"/>
    <w:rsid w:val="00A6365B"/>
    <w:rsid w:val="00A7053F"/>
    <w:rsid w:val="00A774E8"/>
    <w:rsid w:val="00A817DF"/>
    <w:rsid w:val="00A9388D"/>
    <w:rsid w:val="00AA31B5"/>
    <w:rsid w:val="00AA55C2"/>
    <w:rsid w:val="00AD64E3"/>
    <w:rsid w:val="00AE4714"/>
    <w:rsid w:val="00AF6409"/>
    <w:rsid w:val="00B005FF"/>
    <w:rsid w:val="00B07B34"/>
    <w:rsid w:val="00B138E9"/>
    <w:rsid w:val="00B22795"/>
    <w:rsid w:val="00B264C5"/>
    <w:rsid w:val="00B55672"/>
    <w:rsid w:val="00B63C28"/>
    <w:rsid w:val="00B8169A"/>
    <w:rsid w:val="00B82EE7"/>
    <w:rsid w:val="00BE4B79"/>
    <w:rsid w:val="00BE5ADA"/>
    <w:rsid w:val="00BF46E5"/>
    <w:rsid w:val="00C060EE"/>
    <w:rsid w:val="00C1399E"/>
    <w:rsid w:val="00C25B08"/>
    <w:rsid w:val="00C26FA9"/>
    <w:rsid w:val="00C35602"/>
    <w:rsid w:val="00C41742"/>
    <w:rsid w:val="00C45524"/>
    <w:rsid w:val="00C52CBA"/>
    <w:rsid w:val="00C62BF0"/>
    <w:rsid w:val="00C668B3"/>
    <w:rsid w:val="00C7487B"/>
    <w:rsid w:val="00CA0B9A"/>
    <w:rsid w:val="00CA3A5D"/>
    <w:rsid w:val="00CA4D44"/>
    <w:rsid w:val="00CA4F5D"/>
    <w:rsid w:val="00CD3CE7"/>
    <w:rsid w:val="00D026C1"/>
    <w:rsid w:val="00D31A3A"/>
    <w:rsid w:val="00D520C2"/>
    <w:rsid w:val="00D5233C"/>
    <w:rsid w:val="00D63556"/>
    <w:rsid w:val="00D67B18"/>
    <w:rsid w:val="00D80E2D"/>
    <w:rsid w:val="00D817BB"/>
    <w:rsid w:val="00D93091"/>
    <w:rsid w:val="00D96BAD"/>
    <w:rsid w:val="00DA73FD"/>
    <w:rsid w:val="00DC13A4"/>
    <w:rsid w:val="00DD04BC"/>
    <w:rsid w:val="00DD086D"/>
    <w:rsid w:val="00DD210F"/>
    <w:rsid w:val="00DD6233"/>
    <w:rsid w:val="00DE00D0"/>
    <w:rsid w:val="00DF4F5A"/>
    <w:rsid w:val="00E108B6"/>
    <w:rsid w:val="00E10BE4"/>
    <w:rsid w:val="00E230D3"/>
    <w:rsid w:val="00E24C7C"/>
    <w:rsid w:val="00E37483"/>
    <w:rsid w:val="00E56EAF"/>
    <w:rsid w:val="00E8197B"/>
    <w:rsid w:val="00EC3DB5"/>
    <w:rsid w:val="00ED578F"/>
    <w:rsid w:val="00EE63CE"/>
    <w:rsid w:val="00EE68CA"/>
    <w:rsid w:val="00EF0C7A"/>
    <w:rsid w:val="00EF1BBC"/>
    <w:rsid w:val="00EF620D"/>
    <w:rsid w:val="00F24D06"/>
    <w:rsid w:val="00F30688"/>
    <w:rsid w:val="00F326C9"/>
    <w:rsid w:val="00F34386"/>
    <w:rsid w:val="00F60330"/>
    <w:rsid w:val="00F73843"/>
    <w:rsid w:val="00F75713"/>
    <w:rsid w:val="00F77E32"/>
    <w:rsid w:val="00F830F7"/>
    <w:rsid w:val="00F947F9"/>
    <w:rsid w:val="00F94FB4"/>
    <w:rsid w:val="00FA5008"/>
    <w:rsid w:val="00FA6AC6"/>
    <w:rsid w:val="00FB5C68"/>
    <w:rsid w:val="00FC05CA"/>
    <w:rsid w:val="00FC4B00"/>
    <w:rsid w:val="00FD3732"/>
    <w:rsid w:val="00FE55DE"/>
    <w:rsid w:val="00FF2FCE"/>
    <w:rsid w:val="00FF78D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9A0"/>
    <w:pPr>
      <w:spacing w:after="0" w:line="240" w:lineRule="auto"/>
    </w:pPr>
    <w:rPr>
      <w:rFonts w:ascii="Times New Roman" w:eastAsia="Times New Roman" w:hAnsi="Times New Roman" w:cs="Times New Roman"/>
      <w:sz w:val="24"/>
      <w:szCs w:val="20"/>
      <w:lang w:val="en-US"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400A04"/>
    <w:pPr>
      <w:tabs>
        <w:tab w:val="center" w:pos="4819"/>
        <w:tab w:val="right" w:pos="9638"/>
      </w:tabs>
    </w:pPr>
  </w:style>
  <w:style w:type="character" w:customStyle="1" w:styleId="SidehovedTegn">
    <w:name w:val="Sidehoved Tegn"/>
    <w:basedOn w:val="Standardskrifttypeiafsnit"/>
    <w:link w:val="Sidehoved"/>
    <w:uiPriority w:val="99"/>
    <w:semiHidden/>
    <w:rsid w:val="00400A04"/>
    <w:rPr>
      <w:rFonts w:ascii="Times New Roman" w:eastAsia="Times New Roman" w:hAnsi="Times New Roman" w:cs="Times New Roman"/>
      <w:sz w:val="24"/>
      <w:szCs w:val="20"/>
      <w:lang w:val="en-US" w:eastAsia="da-DK"/>
    </w:rPr>
  </w:style>
  <w:style w:type="paragraph" w:styleId="Sidefod">
    <w:name w:val="footer"/>
    <w:basedOn w:val="Normal"/>
    <w:link w:val="SidefodTegn"/>
    <w:uiPriority w:val="99"/>
    <w:unhideWhenUsed/>
    <w:rsid w:val="00400A04"/>
    <w:pPr>
      <w:tabs>
        <w:tab w:val="center" w:pos="4819"/>
        <w:tab w:val="right" w:pos="9638"/>
      </w:tabs>
    </w:pPr>
  </w:style>
  <w:style w:type="character" w:customStyle="1" w:styleId="SidefodTegn">
    <w:name w:val="Sidefod Tegn"/>
    <w:basedOn w:val="Standardskrifttypeiafsnit"/>
    <w:link w:val="Sidefod"/>
    <w:uiPriority w:val="99"/>
    <w:rsid w:val="00400A04"/>
    <w:rPr>
      <w:rFonts w:ascii="Times New Roman" w:eastAsia="Times New Roman" w:hAnsi="Times New Roman" w:cs="Times New Roman"/>
      <w:sz w:val="24"/>
      <w:szCs w:val="20"/>
      <w:lang w:val="en-US" w:eastAsia="da-DK"/>
    </w:rPr>
  </w:style>
  <w:style w:type="table" w:styleId="Tabel-Gitter">
    <w:name w:val="Table Grid"/>
    <w:basedOn w:val="Tabel-Normal"/>
    <w:uiPriority w:val="59"/>
    <w:rsid w:val="00C748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afsnit">
    <w:name w:val="List Paragraph"/>
    <w:basedOn w:val="Normal"/>
    <w:uiPriority w:val="34"/>
    <w:qFormat/>
    <w:rsid w:val="00C41742"/>
    <w:pPr>
      <w:ind w:left="720"/>
      <w:contextualSpacing/>
    </w:pPr>
  </w:style>
  <w:style w:type="paragraph" w:styleId="Markeringsbobletekst">
    <w:name w:val="Balloon Text"/>
    <w:basedOn w:val="Normal"/>
    <w:link w:val="MarkeringsbobletekstTegn"/>
    <w:uiPriority w:val="99"/>
    <w:semiHidden/>
    <w:unhideWhenUsed/>
    <w:rsid w:val="008B0A03"/>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0A03"/>
    <w:rPr>
      <w:rFonts w:ascii="Tahoma" w:eastAsia="Times New Roman" w:hAnsi="Tahoma" w:cs="Tahoma"/>
      <w:sz w:val="16"/>
      <w:szCs w:val="16"/>
      <w:lang w:val="en-US" w:eastAsia="da-DK"/>
    </w:rPr>
  </w:style>
  <w:style w:type="character" w:styleId="Kommentarhenvisning">
    <w:name w:val="annotation reference"/>
    <w:basedOn w:val="Standardskrifttypeiafsnit"/>
    <w:uiPriority w:val="99"/>
    <w:semiHidden/>
    <w:unhideWhenUsed/>
    <w:rsid w:val="00073F47"/>
    <w:rPr>
      <w:sz w:val="16"/>
      <w:szCs w:val="16"/>
    </w:rPr>
  </w:style>
  <w:style w:type="paragraph" w:styleId="Kommentartekst">
    <w:name w:val="annotation text"/>
    <w:basedOn w:val="Normal"/>
    <w:link w:val="KommentartekstTegn"/>
    <w:uiPriority w:val="99"/>
    <w:semiHidden/>
    <w:unhideWhenUsed/>
    <w:rsid w:val="00073F47"/>
    <w:rPr>
      <w:sz w:val="20"/>
    </w:rPr>
  </w:style>
  <w:style w:type="character" w:customStyle="1" w:styleId="KommentartekstTegn">
    <w:name w:val="Kommentartekst Tegn"/>
    <w:basedOn w:val="Standardskrifttypeiafsnit"/>
    <w:link w:val="Kommentartekst"/>
    <w:uiPriority w:val="99"/>
    <w:semiHidden/>
    <w:rsid w:val="00073F47"/>
    <w:rPr>
      <w:rFonts w:ascii="Times New Roman" w:eastAsia="Times New Roman" w:hAnsi="Times New Roman" w:cs="Times New Roman"/>
      <w:sz w:val="20"/>
      <w:szCs w:val="20"/>
      <w:lang w:val="en-US" w:eastAsia="da-DK"/>
    </w:rPr>
  </w:style>
  <w:style w:type="paragraph" w:styleId="Kommentaremne">
    <w:name w:val="annotation subject"/>
    <w:basedOn w:val="Kommentartekst"/>
    <w:next w:val="Kommentartekst"/>
    <w:link w:val="KommentaremneTegn"/>
    <w:uiPriority w:val="99"/>
    <w:semiHidden/>
    <w:unhideWhenUsed/>
    <w:rsid w:val="00073F47"/>
    <w:rPr>
      <w:b/>
      <w:bCs/>
    </w:rPr>
  </w:style>
  <w:style w:type="character" w:customStyle="1" w:styleId="KommentaremneTegn">
    <w:name w:val="Kommentaremne Tegn"/>
    <w:basedOn w:val="KommentartekstTegn"/>
    <w:link w:val="Kommentaremne"/>
    <w:uiPriority w:val="99"/>
    <w:semiHidden/>
    <w:rsid w:val="00073F47"/>
    <w:rPr>
      <w:rFonts w:ascii="Times New Roman" w:eastAsia="Times New Roman" w:hAnsi="Times New Roman" w:cs="Times New Roman"/>
      <w:b/>
      <w:bCs/>
      <w:sz w:val="20"/>
      <w:szCs w:val="20"/>
      <w:lang w:val="en-US" w:eastAsia="da-DK"/>
    </w:rPr>
  </w:style>
  <w:style w:type="paragraph" w:styleId="Almindeligtekst">
    <w:name w:val="Plain Text"/>
    <w:basedOn w:val="Normal"/>
    <w:link w:val="AlmindeligtekstTegn"/>
    <w:uiPriority w:val="99"/>
    <w:unhideWhenUsed/>
    <w:rsid w:val="00230119"/>
    <w:rPr>
      <w:rFonts w:ascii="Calibri" w:eastAsiaTheme="minorHAnsi" w:hAnsi="Calibri" w:cstheme="minorBidi"/>
      <w:sz w:val="22"/>
      <w:szCs w:val="21"/>
      <w:lang w:val="da-DK" w:eastAsia="en-US"/>
    </w:rPr>
  </w:style>
  <w:style w:type="character" w:customStyle="1" w:styleId="AlmindeligtekstTegn">
    <w:name w:val="Almindelig tekst Tegn"/>
    <w:basedOn w:val="Standardskrifttypeiafsnit"/>
    <w:link w:val="Almindeligtekst"/>
    <w:uiPriority w:val="99"/>
    <w:rsid w:val="00230119"/>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9A0"/>
    <w:pPr>
      <w:spacing w:after="0" w:line="240" w:lineRule="auto"/>
    </w:pPr>
    <w:rPr>
      <w:rFonts w:ascii="Times New Roman" w:eastAsia="Times New Roman" w:hAnsi="Times New Roman" w:cs="Times New Roman"/>
      <w:sz w:val="24"/>
      <w:szCs w:val="20"/>
      <w:lang w:val="en-US"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400A04"/>
    <w:pPr>
      <w:tabs>
        <w:tab w:val="center" w:pos="4819"/>
        <w:tab w:val="right" w:pos="9638"/>
      </w:tabs>
    </w:pPr>
  </w:style>
  <w:style w:type="character" w:customStyle="1" w:styleId="SidehovedTegn">
    <w:name w:val="Sidehoved Tegn"/>
    <w:basedOn w:val="Standardskrifttypeiafsnit"/>
    <w:link w:val="Sidehoved"/>
    <w:uiPriority w:val="99"/>
    <w:semiHidden/>
    <w:rsid w:val="00400A04"/>
    <w:rPr>
      <w:rFonts w:ascii="Times New Roman" w:eastAsia="Times New Roman" w:hAnsi="Times New Roman" w:cs="Times New Roman"/>
      <w:sz w:val="24"/>
      <w:szCs w:val="20"/>
      <w:lang w:val="en-US" w:eastAsia="da-DK"/>
    </w:rPr>
  </w:style>
  <w:style w:type="paragraph" w:styleId="Sidefod">
    <w:name w:val="footer"/>
    <w:basedOn w:val="Normal"/>
    <w:link w:val="SidefodTegn"/>
    <w:uiPriority w:val="99"/>
    <w:unhideWhenUsed/>
    <w:rsid w:val="00400A04"/>
    <w:pPr>
      <w:tabs>
        <w:tab w:val="center" w:pos="4819"/>
        <w:tab w:val="right" w:pos="9638"/>
      </w:tabs>
    </w:pPr>
  </w:style>
  <w:style w:type="character" w:customStyle="1" w:styleId="SidefodTegn">
    <w:name w:val="Sidefod Tegn"/>
    <w:basedOn w:val="Standardskrifttypeiafsnit"/>
    <w:link w:val="Sidefod"/>
    <w:uiPriority w:val="99"/>
    <w:rsid w:val="00400A04"/>
    <w:rPr>
      <w:rFonts w:ascii="Times New Roman" w:eastAsia="Times New Roman" w:hAnsi="Times New Roman" w:cs="Times New Roman"/>
      <w:sz w:val="24"/>
      <w:szCs w:val="20"/>
      <w:lang w:val="en-US" w:eastAsia="da-DK"/>
    </w:rPr>
  </w:style>
  <w:style w:type="table" w:styleId="Tabel-Gitter">
    <w:name w:val="Table Grid"/>
    <w:basedOn w:val="Tabel-Normal"/>
    <w:uiPriority w:val="59"/>
    <w:rsid w:val="00C748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afsnit">
    <w:name w:val="List Paragraph"/>
    <w:basedOn w:val="Normal"/>
    <w:uiPriority w:val="34"/>
    <w:qFormat/>
    <w:rsid w:val="00C41742"/>
    <w:pPr>
      <w:ind w:left="720"/>
      <w:contextualSpacing/>
    </w:pPr>
  </w:style>
  <w:style w:type="paragraph" w:styleId="Markeringsbobletekst">
    <w:name w:val="Balloon Text"/>
    <w:basedOn w:val="Normal"/>
    <w:link w:val="MarkeringsbobletekstTegn"/>
    <w:uiPriority w:val="99"/>
    <w:semiHidden/>
    <w:unhideWhenUsed/>
    <w:rsid w:val="008B0A03"/>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0A03"/>
    <w:rPr>
      <w:rFonts w:ascii="Tahoma" w:eastAsia="Times New Roman" w:hAnsi="Tahoma" w:cs="Tahoma"/>
      <w:sz w:val="16"/>
      <w:szCs w:val="16"/>
      <w:lang w:val="en-US" w:eastAsia="da-DK"/>
    </w:rPr>
  </w:style>
  <w:style w:type="character" w:styleId="Kommentarhenvisning">
    <w:name w:val="annotation reference"/>
    <w:basedOn w:val="Standardskrifttypeiafsnit"/>
    <w:uiPriority w:val="99"/>
    <w:semiHidden/>
    <w:unhideWhenUsed/>
    <w:rsid w:val="00073F47"/>
    <w:rPr>
      <w:sz w:val="16"/>
      <w:szCs w:val="16"/>
    </w:rPr>
  </w:style>
  <w:style w:type="paragraph" w:styleId="Kommentartekst">
    <w:name w:val="annotation text"/>
    <w:basedOn w:val="Normal"/>
    <w:link w:val="KommentartekstTegn"/>
    <w:uiPriority w:val="99"/>
    <w:semiHidden/>
    <w:unhideWhenUsed/>
    <w:rsid w:val="00073F47"/>
    <w:rPr>
      <w:sz w:val="20"/>
    </w:rPr>
  </w:style>
  <w:style w:type="character" w:customStyle="1" w:styleId="KommentartekstTegn">
    <w:name w:val="Kommentartekst Tegn"/>
    <w:basedOn w:val="Standardskrifttypeiafsnit"/>
    <w:link w:val="Kommentartekst"/>
    <w:uiPriority w:val="99"/>
    <w:semiHidden/>
    <w:rsid w:val="00073F47"/>
    <w:rPr>
      <w:rFonts w:ascii="Times New Roman" w:eastAsia="Times New Roman" w:hAnsi="Times New Roman" w:cs="Times New Roman"/>
      <w:sz w:val="20"/>
      <w:szCs w:val="20"/>
      <w:lang w:val="en-US" w:eastAsia="da-DK"/>
    </w:rPr>
  </w:style>
  <w:style w:type="paragraph" w:styleId="Kommentaremne">
    <w:name w:val="annotation subject"/>
    <w:basedOn w:val="Kommentartekst"/>
    <w:next w:val="Kommentartekst"/>
    <w:link w:val="KommentaremneTegn"/>
    <w:uiPriority w:val="99"/>
    <w:semiHidden/>
    <w:unhideWhenUsed/>
    <w:rsid w:val="00073F47"/>
    <w:rPr>
      <w:b/>
      <w:bCs/>
    </w:rPr>
  </w:style>
  <w:style w:type="character" w:customStyle="1" w:styleId="KommentaremneTegn">
    <w:name w:val="Kommentaremne Tegn"/>
    <w:basedOn w:val="KommentartekstTegn"/>
    <w:link w:val="Kommentaremne"/>
    <w:uiPriority w:val="99"/>
    <w:semiHidden/>
    <w:rsid w:val="00073F47"/>
    <w:rPr>
      <w:rFonts w:ascii="Times New Roman" w:eastAsia="Times New Roman" w:hAnsi="Times New Roman" w:cs="Times New Roman"/>
      <w:b/>
      <w:bCs/>
      <w:sz w:val="20"/>
      <w:szCs w:val="20"/>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648858">
      <w:bodyDiv w:val="1"/>
      <w:marLeft w:val="0"/>
      <w:marRight w:val="0"/>
      <w:marTop w:val="0"/>
      <w:marBottom w:val="0"/>
      <w:divBdr>
        <w:top w:val="none" w:sz="0" w:space="0" w:color="auto"/>
        <w:left w:val="none" w:sz="0" w:space="0" w:color="auto"/>
        <w:bottom w:val="none" w:sz="0" w:space="0" w:color="auto"/>
        <w:right w:val="none" w:sz="0" w:space="0" w:color="auto"/>
      </w:divBdr>
    </w:div>
    <w:div w:id="1444618471">
      <w:bodyDiv w:val="1"/>
      <w:marLeft w:val="0"/>
      <w:marRight w:val="0"/>
      <w:marTop w:val="0"/>
      <w:marBottom w:val="0"/>
      <w:divBdr>
        <w:top w:val="none" w:sz="0" w:space="0" w:color="auto"/>
        <w:left w:val="none" w:sz="0" w:space="0" w:color="auto"/>
        <w:bottom w:val="none" w:sz="0" w:space="0" w:color="auto"/>
        <w:right w:val="none" w:sz="0" w:space="0" w:color="auto"/>
      </w:divBdr>
    </w:div>
    <w:div w:id="1805732819">
      <w:bodyDiv w:val="1"/>
      <w:marLeft w:val="0"/>
      <w:marRight w:val="0"/>
      <w:marTop w:val="0"/>
      <w:marBottom w:val="0"/>
      <w:divBdr>
        <w:top w:val="none" w:sz="0" w:space="0" w:color="auto"/>
        <w:left w:val="none" w:sz="0" w:space="0" w:color="auto"/>
        <w:bottom w:val="none" w:sz="0" w:space="0" w:color="auto"/>
        <w:right w:val="none" w:sz="0" w:space="0" w:color="auto"/>
      </w:divBdr>
    </w:div>
    <w:div w:id="203897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1264A-D1B7-4370-B67B-6E440676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9</Pages>
  <Words>3279</Words>
  <Characters>20004</Characters>
  <Application>Microsoft Office Word</Application>
  <DocSecurity>0</DocSecurity>
  <Lines>166</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Syddansk Unversitet - University of Southern Denmark</Company>
  <LinksUpToDate>false</LinksUpToDate>
  <CharactersWithSpaces>23237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 Pottegård</dc:creator>
  <cp:lastModifiedBy>Anton Pottegård</cp:lastModifiedBy>
  <cp:revision>34</cp:revision>
  <cp:lastPrinted>2014-01-16T17:12:00Z</cp:lastPrinted>
  <dcterms:created xsi:type="dcterms:W3CDTF">2013-05-23T07:59:00Z</dcterms:created>
  <dcterms:modified xsi:type="dcterms:W3CDTF">2014-01-16T17:12:00Z</dcterms:modified>
</cp:coreProperties>
</file>