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9A0" w:rsidRPr="00934E61"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b/>
          <w:lang w:val="da-DK"/>
        </w:rPr>
      </w:pPr>
    </w:p>
    <w:p w:rsidR="000C39A0" w:rsidRPr="00C149E3"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b/>
          <w:sz w:val="48"/>
          <w:szCs w:val="48"/>
          <w:lang w:val="da-DK"/>
        </w:rPr>
      </w:pPr>
    </w:p>
    <w:p w:rsidR="004965D8" w:rsidRPr="00C149E3" w:rsidRDefault="00FB1A83" w:rsidP="004965D8">
      <w:pPr>
        <w:spacing w:before="120" w:line="360" w:lineRule="auto"/>
        <w:jc w:val="center"/>
        <w:rPr>
          <w:rFonts w:ascii="Garamond" w:hAnsi="Garamond"/>
          <w:b/>
          <w:iCs/>
          <w:color w:val="000000"/>
          <w:sz w:val="48"/>
          <w:szCs w:val="48"/>
        </w:rPr>
      </w:pPr>
      <w:r>
        <w:rPr>
          <w:rFonts w:ascii="Garamond" w:hAnsi="Garamond"/>
          <w:b/>
          <w:iCs/>
          <w:color w:val="000000"/>
          <w:sz w:val="48"/>
          <w:szCs w:val="48"/>
        </w:rPr>
        <w:t xml:space="preserve">Use of </w:t>
      </w:r>
      <w:r w:rsidR="003E5C03">
        <w:rPr>
          <w:rFonts w:ascii="Garamond" w:hAnsi="Garamond"/>
          <w:b/>
          <w:iCs/>
          <w:color w:val="000000"/>
          <w:sz w:val="48"/>
          <w:szCs w:val="48"/>
        </w:rPr>
        <w:t>SSRIs</w:t>
      </w:r>
      <w:r>
        <w:rPr>
          <w:rFonts w:ascii="Garamond" w:hAnsi="Garamond"/>
          <w:b/>
          <w:iCs/>
          <w:color w:val="000000"/>
          <w:sz w:val="48"/>
          <w:szCs w:val="48"/>
        </w:rPr>
        <w:t xml:space="preserve"> </w:t>
      </w:r>
      <w:proofErr w:type="gramStart"/>
      <w:r>
        <w:rPr>
          <w:rFonts w:ascii="Garamond" w:hAnsi="Garamond"/>
          <w:b/>
          <w:iCs/>
          <w:color w:val="000000"/>
          <w:sz w:val="48"/>
          <w:szCs w:val="48"/>
        </w:rPr>
        <w:t>Among</w:t>
      </w:r>
      <w:proofErr w:type="gramEnd"/>
      <w:r>
        <w:rPr>
          <w:rFonts w:ascii="Garamond" w:hAnsi="Garamond"/>
          <w:b/>
          <w:iCs/>
          <w:color w:val="000000"/>
          <w:sz w:val="48"/>
          <w:szCs w:val="48"/>
        </w:rPr>
        <w:t xml:space="preserve"> Children</w:t>
      </w:r>
      <w:r w:rsidR="004965D8" w:rsidRPr="00C149E3">
        <w:rPr>
          <w:rFonts w:ascii="Garamond" w:hAnsi="Garamond"/>
          <w:b/>
          <w:iCs/>
          <w:color w:val="000000"/>
          <w:sz w:val="48"/>
          <w:szCs w:val="48"/>
        </w:rPr>
        <w:t xml:space="preserve">: </w:t>
      </w:r>
    </w:p>
    <w:p w:rsidR="004965D8" w:rsidRPr="00C149E3" w:rsidRDefault="004965D8" w:rsidP="004965D8">
      <w:pPr>
        <w:spacing w:before="120" w:line="360" w:lineRule="auto"/>
        <w:jc w:val="center"/>
        <w:rPr>
          <w:rFonts w:ascii="Garamond" w:hAnsi="Garamond"/>
          <w:b/>
          <w:iCs/>
          <w:color w:val="000000"/>
          <w:sz w:val="48"/>
          <w:szCs w:val="48"/>
        </w:rPr>
      </w:pPr>
      <w:r w:rsidRPr="00C149E3">
        <w:rPr>
          <w:rFonts w:ascii="Garamond" w:hAnsi="Garamond"/>
          <w:b/>
          <w:iCs/>
          <w:color w:val="000000"/>
          <w:sz w:val="48"/>
          <w:szCs w:val="48"/>
        </w:rPr>
        <w:t xml:space="preserve">A Danish </w:t>
      </w:r>
      <w:r w:rsidR="00FB1A83">
        <w:rPr>
          <w:rFonts w:ascii="Garamond" w:hAnsi="Garamond"/>
          <w:b/>
          <w:iCs/>
          <w:color w:val="000000"/>
          <w:sz w:val="48"/>
          <w:szCs w:val="48"/>
        </w:rPr>
        <w:t xml:space="preserve">Drug Use </w:t>
      </w:r>
      <w:r w:rsidRPr="00C149E3">
        <w:rPr>
          <w:rFonts w:ascii="Garamond" w:hAnsi="Garamond"/>
          <w:b/>
          <w:iCs/>
          <w:color w:val="000000"/>
          <w:sz w:val="48"/>
          <w:szCs w:val="48"/>
        </w:rPr>
        <w:t xml:space="preserve">Study </w:t>
      </w:r>
    </w:p>
    <w:p w:rsidR="000C39A0" w:rsidRPr="00EC3DB5"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rPr>
      </w:pPr>
    </w:p>
    <w:p w:rsidR="00FF2FCE" w:rsidRPr="00EC3DB5" w:rsidRDefault="00FF2FCE"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40"/>
          <w:szCs w:val="40"/>
        </w:rPr>
      </w:pPr>
    </w:p>
    <w:p w:rsidR="00CE41E4" w:rsidRPr="00A21ACA" w:rsidRDefault="00081864" w:rsidP="00CE41E4">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40"/>
          <w:szCs w:val="40"/>
        </w:rPr>
      </w:pPr>
      <w:r w:rsidRPr="00A21ACA">
        <w:rPr>
          <w:rFonts w:ascii="Garamond" w:hAnsi="Garamond" w:cstheme="minorHAnsi"/>
          <w:sz w:val="40"/>
          <w:szCs w:val="40"/>
        </w:rPr>
        <w:t>Study Protocol</w:t>
      </w:r>
      <w:bookmarkStart w:id="0" w:name="_GoBack"/>
      <w:bookmarkEnd w:id="0"/>
    </w:p>
    <w:p w:rsidR="00FF2FCE" w:rsidRPr="00A21ACA" w:rsidRDefault="00FF2FCE"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rPr>
      </w:pPr>
    </w:p>
    <w:p w:rsidR="00FF2FCE" w:rsidRPr="00A21ACA" w:rsidRDefault="00FF2FCE"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rPr>
      </w:pPr>
    </w:p>
    <w:p w:rsidR="00FF2FCE" w:rsidRPr="00A21ACA" w:rsidRDefault="00FF2FCE"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rPr>
      </w:pPr>
    </w:p>
    <w:p w:rsidR="000C39A0" w:rsidRPr="003E05A4" w:rsidRDefault="00AC496E"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lang w:val="sv-SE"/>
        </w:rPr>
      </w:pPr>
      <w:r w:rsidRPr="003E05A4">
        <w:rPr>
          <w:rFonts w:ascii="Garamond" w:hAnsi="Garamond" w:cstheme="minorHAnsi"/>
          <w:sz w:val="28"/>
          <w:szCs w:val="28"/>
          <w:lang w:val="sv-SE"/>
        </w:rPr>
        <w:t xml:space="preserve">Anton Pottegård </w:t>
      </w:r>
      <w:r w:rsidRPr="003E05A4">
        <w:rPr>
          <w:rFonts w:ascii="Garamond" w:hAnsi="Garamond" w:cs="Calibri"/>
          <w:sz w:val="28"/>
          <w:szCs w:val="28"/>
          <w:vertAlign w:val="superscript"/>
          <w:lang w:val="sv-SE"/>
        </w:rPr>
        <w:t>1,</w:t>
      </w:r>
      <w:r w:rsidRPr="003E05A4">
        <w:rPr>
          <w:rFonts w:ascii="Garamond" w:hAnsi="Garamond" w:cs="Calibri"/>
          <w:sz w:val="28"/>
          <w:szCs w:val="28"/>
          <w:lang w:val="sv-SE"/>
        </w:rPr>
        <w:t xml:space="preserve"> </w:t>
      </w:r>
      <w:r w:rsidRPr="003E05A4">
        <w:rPr>
          <w:rFonts w:ascii="Garamond" w:hAnsi="Garamond" w:cs="Calibri"/>
          <w:sz w:val="28"/>
          <w:szCs w:val="28"/>
          <w:vertAlign w:val="superscript"/>
          <w:lang w:val="sv-SE"/>
        </w:rPr>
        <w:t>MSc Pharm</w:t>
      </w:r>
    </w:p>
    <w:p w:rsidR="00A21ACA" w:rsidRPr="003E05A4" w:rsidRDefault="00A21ACA" w:rsidP="00FB5C68">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vertAlign w:val="superscript"/>
          <w:lang w:val="sv-SE"/>
        </w:rPr>
      </w:pPr>
      <w:r w:rsidRPr="003E05A4">
        <w:rPr>
          <w:rFonts w:ascii="Garamond" w:hAnsi="Garamond" w:cstheme="minorHAnsi"/>
          <w:sz w:val="28"/>
          <w:szCs w:val="28"/>
          <w:lang w:val="sv-SE"/>
        </w:rPr>
        <w:t>Helga Zo</w:t>
      </w:r>
      <w:r w:rsidR="007B079C" w:rsidRPr="003E05A4">
        <w:rPr>
          <w:rFonts w:ascii="Garamond" w:hAnsi="Garamond" w:cstheme="minorHAnsi"/>
          <w:sz w:val="28"/>
          <w:szCs w:val="28"/>
          <w:lang w:val="sv-SE"/>
        </w:rPr>
        <w:t>ë</w:t>
      </w:r>
      <w:r w:rsidRPr="003E05A4">
        <w:rPr>
          <w:rFonts w:ascii="Garamond" w:hAnsi="Garamond" w:cstheme="minorHAnsi"/>
          <w:sz w:val="28"/>
          <w:szCs w:val="28"/>
          <w:lang w:val="sv-SE"/>
        </w:rPr>
        <w:t>ga</w:t>
      </w:r>
      <w:r w:rsidR="00975A3E" w:rsidRPr="003E05A4">
        <w:rPr>
          <w:rFonts w:ascii="Garamond" w:hAnsi="Garamond" w:cstheme="minorHAnsi"/>
          <w:sz w:val="28"/>
          <w:szCs w:val="28"/>
          <w:lang w:val="sv-SE"/>
        </w:rPr>
        <w:t xml:space="preserve"> </w:t>
      </w:r>
      <w:r w:rsidR="00FB1A83" w:rsidRPr="003E05A4">
        <w:rPr>
          <w:rFonts w:ascii="Garamond" w:hAnsi="Garamond" w:cstheme="minorHAnsi"/>
          <w:sz w:val="28"/>
          <w:szCs w:val="28"/>
          <w:vertAlign w:val="superscript"/>
          <w:lang w:val="sv-SE"/>
        </w:rPr>
        <w:t>2</w:t>
      </w:r>
      <w:r w:rsidR="007B079C" w:rsidRPr="003E05A4">
        <w:rPr>
          <w:rFonts w:ascii="Garamond" w:hAnsi="Garamond" w:cstheme="minorHAnsi"/>
          <w:sz w:val="28"/>
          <w:szCs w:val="28"/>
          <w:vertAlign w:val="superscript"/>
          <w:lang w:val="sv-SE"/>
        </w:rPr>
        <w:t xml:space="preserve"> &amp; </w:t>
      </w:r>
      <w:r w:rsidR="00FB1A83" w:rsidRPr="003E05A4">
        <w:rPr>
          <w:rFonts w:ascii="Garamond" w:hAnsi="Garamond" w:cstheme="minorHAnsi"/>
          <w:sz w:val="28"/>
          <w:szCs w:val="28"/>
          <w:vertAlign w:val="superscript"/>
          <w:lang w:val="sv-SE"/>
        </w:rPr>
        <w:t>3</w:t>
      </w:r>
      <w:r w:rsidR="00975A3E" w:rsidRPr="003E05A4">
        <w:rPr>
          <w:rFonts w:ascii="Garamond" w:hAnsi="Garamond" w:cstheme="minorHAnsi"/>
          <w:sz w:val="28"/>
          <w:szCs w:val="28"/>
          <w:vertAlign w:val="superscript"/>
          <w:lang w:val="sv-SE"/>
        </w:rPr>
        <w:t xml:space="preserve">, </w:t>
      </w:r>
      <w:r w:rsidR="007B079C" w:rsidRPr="003E05A4">
        <w:rPr>
          <w:rFonts w:ascii="Garamond" w:hAnsi="Garamond" w:cstheme="minorHAnsi"/>
          <w:sz w:val="28"/>
          <w:szCs w:val="28"/>
          <w:vertAlign w:val="superscript"/>
          <w:lang w:val="sv-SE"/>
        </w:rPr>
        <w:t>MA PhD</w:t>
      </w:r>
    </w:p>
    <w:p w:rsidR="00FB1A83" w:rsidRPr="003E05A4" w:rsidRDefault="00FB1A83" w:rsidP="00FB1A8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sz w:val="28"/>
          <w:szCs w:val="28"/>
          <w:vertAlign w:val="superscript"/>
          <w:lang w:val="sv-SE"/>
        </w:rPr>
      </w:pPr>
      <w:r w:rsidRPr="003E05A4">
        <w:rPr>
          <w:rFonts w:ascii="Garamond" w:hAnsi="Garamond" w:cstheme="minorHAnsi"/>
          <w:sz w:val="28"/>
          <w:szCs w:val="28"/>
          <w:lang w:val="sv-SE"/>
        </w:rPr>
        <w:t xml:space="preserve">Jesper Hallas </w:t>
      </w:r>
      <w:r w:rsidRPr="003E05A4">
        <w:rPr>
          <w:rFonts w:ascii="Garamond" w:hAnsi="Garamond" w:cs="Calibri"/>
          <w:sz w:val="28"/>
          <w:szCs w:val="28"/>
          <w:vertAlign w:val="superscript"/>
          <w:lang w:val="sv-SE"/>
        </w:rPr>
        <w:t>1,</w:t>
      </w:r>
      <w:r w:rsidRPr="003E05A4">
        <w:rPr>
          <w:rFonts w:ascii="Garamond" w:hAnsi="Garamond" w:cs="Calibri"/>
          <w:sz w:val="28"/>
          <w:szCs w:val="28"/>
          <w:lang w:val="sv-SE"/>
        </w:rPr>
        <w:t xml:space="preserve"> </w:t>
      </w:r>
      <w:r w:rsidRPr="003E05A4">
        <w:rPr>
          <w:rFonts w:ascii="Garamond" w:hAnsi="Garamond" w:cs="Calibri"/>
          <w:sz w:val="28"/>
          <w:szCs w:val="28"/>
          <w:vertAlign w:val="superscript"/>
          <w:lang w:val="sv-SE"/>
        </w:rPr>
        <w:t>MD PhD</w:t>
      </w:r>
    </w:p>
    <w:p w:rsidR="00FB1A83" w:rsidRPr="003E05A4" w:rsidRDefault="00FB1A83" w:rsidP="00FB1A8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sz w:val="28"/>
          <w:szCs w:val="28"/>
          <w:vertAlign w:val="superscript"/>
          <w:lang w:val="sv-SE"/>
        </w:rPr>
      </w:pPr>
      <w:r w:rsidRPr="003E05A4">
        <w:rPr>
          <w:rFonts w:ascii="Garamond" w:hAnsi="Garamond" w:cstheme="minorHAnsi"/>
          <w:sz w:val="28"/>
          <w:szCs w:val="28"/>
          <w:lang w:val="sv-SE"/>
        </w:rPr>
        <w:t xml:space="preserve">Per Damkier </w:t>
      </w:r>
      <w:r w:rsidRPr="003E05A4">
        <w:rPr>
          <w:rFonts w:ascii="Garamond" w:hAnsi="Garamond" w:cs="Calibri"/>
          <w:sz w:val="28"/>
          <w:szCs w:val="28"/>
          <w:vertAlign w:val="superscript"/>
          <w:lang w:val="sv-SE"/>
        </w:rPr>
        <w:t>1 &amp; 4,</w:t>
      </w:r>
      <w:r w:rsidRPr="003E05A4">
        <w:rPr>
          <w:rFonts w:ascii="Garamond" w:hAnsi="Garamond" w:cs="Calibri"/>
          <w:sz w:val="28"/>
          <w:szCs w:val="28"/>
          <w:lang w:val="sv-SE"/>
        </w:rPr>
        <w:t xml:space="preserve"> </w:t>
      </w:r>
      <w:r w:rsidRPr="003E05A4">
        <w:rPr>
          <w:rFonts w:ascii="Garamond" w:hAnsi="Garamond" w:cs="Calibri"/>
          <w:sz w:val="28"/>
          <w:szCs w:val="28"/>
          <w:vertAlign w:val="superscript"/>
          <w:lang w:val="sv-SE"/>
        </w:rPr>
        <w:t>MD PhD</w:t>
      </w:r>
    </w:p>
    <w:p w:rsidR="00FB1A83" w:rsidRPr="00975A3E" w:rsidRDefault="00FB1A83" w:rsidP="00FB5C68">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vertAlign w:val="superscript"/>
          <w:lang w:val="sv-SE"/>
        </w:rPr>
      </w:pPr>
    </w:p>
    <w:p w:rsidR="000C39A0" w:rsidRPr="00297C1F"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276" w:lineRule="auto"/>
        <w:rPr>
          <w:rFonts w:ascii="Garamond" w:hAnsi="Garamond" w:cstheme="minorHAnsi"/>
          <w:lang w:val="sv-SE"/>
        </w:rPr>
      </w:pPr>
    </w:p>
    <w:p w:rsidR="00975A3E" w:rsidRPr="00041188" w:rsidRDefault="00975A3E" w:rsidP="00975A3E">
      <w:pPr>
        <w:rPr>
          <w:rFonts w:cs="Calibri"/>
          <w:sz w:val="16"/>
          <w:szCs w:val="28"/>
          <w:lang w:val="sv-SE"/>
        </w:rPr>
      </w:pPr>
    </w:p>
    <w:p w:rsidR="001F79B1" w:rsidRPr="00041188" w:rsidRDefault="001F79B1" w:rsidP="00975A3E">
      <w:pPr>
        <w:rPr>
          <w:rFonts w:cs="Calibri"/>
          <w:sz w:val="16"/>
          <w:szCs w:val="28"/>
          <w:lang w:val="sv-SE"/>
        </w:rPr>
      </w:pPr>
    </w:p>
    <w:p w:rsidR="00975A3E" w:rsidRDefault="00975A3E" w:rsidP="00975A3E">
      <w:pPr>
        <w:rPr>
          <w:rFonts w:eastAsia="Calibri" w:cs="Calibri"/>
          <w:sz w:val="16"/>
          <w:szCs w:val="28"/>
        </w:rPr>
      </w:pPr>
      <w:r>
        <w:rPr>
          <w:rFonts w:cs="Calibri"/>
          <w:sz w:val="16"/>
          <w:szCs w:val="28"/>
        </w:rPr>
        <w:t>1</w:t>
      </w:r>
      <w:r w:rsidRPr="00E9545D">
        <w:rPr>
          <w:rFonts w:cs="Calibri"/>
          <w:sz w:val="16"/>
          <w:szCs w:val="28"/>
        </w:rPr>
        <w:t>)</w:t>
      </w:r>
      <w:r>
        <w:rPr>
          <w:rFonts w:cs="Calibri"/>
          <w:sz w:val="16"/>
          <w:szCs w:val="28"/>
        </w:rPr>
        <w:t xml:space="preserve"> </w:t>
      </w:r>
      <w:r w:rsidRPr="00E9545D">
        <w:rPr>
          <w:rFonts w:eastAsia="Calibri" w:cs="Calibri"/>
          <w:sz w:val="16"/>
          <w:szCs w:val="28"/>
        </w:rPr>
        <w:t>Clinical Pharmacology</w:t>
      </w:r>
      <w:r>
        <w:rPr>
          <w:rFonts w:eastAsia="Calibri" w:cs="Calibri"/>
          <w:sz w:val="16"/>
          <w:szCs w:val="28"/>
        </w:rPr>
        <w:t xml:space="preserve">, </w:t>
      </w:r>
      <w:r w:rsidRPr="00E9545D">
        <w:rPr>
          <w:rFonts w:eastAsia="Calibri" w:cs="Calibri"/>
          <w:sz w:val="16"/>
          <w:szCs w:val="28"/>
        </w:rPr>
        <w:t>Institute of Public Health</w:t>
      </w:r>
      <w:r>
        <w:rPr>
          <w:rFonts w:eastAsia="Calibri" w:cs="Calibri"/>
          <w:sz w:val="16"/>
          <w:szCs w:val="28"/>
        </w:rPr>
        <w:t xml:space="preserve">, </w:t>
      </w:r>
      <w:r w:rsidRPr="00E9545D">
        <w:rPr>
          <w:rFonts w:eastAsia="Calibri" w:cs="Calibri"/>
          <w:sz w:val="16"/>
          <w:szCs w:val="28"/>
        </w:rPr>
        <w:t>University of Southern Denmark</w:t>
      </w:r>
      <w:r>
        <w:rPr>
          <w:rFonts w:eastAsia="Calibri" w:cs="Calibri"/>
          <w:sz w:val="16"/>
          <w:szCs w:val="28"/>
        </w:rPr>
        <w:t xml:space="preserve">. </w:t>
      </w:r>
      <w:proofErr w:type="gramStart"/>
      <w:r w:rsidRPr="00E9545D">
        <w:rPr>
          <w:rFonts w:eastAsia="Calibri" w:cs="Calibri"/>
          <w:sz w:val="16"/>
          <w:szCs w:val="28"/>
        </w:rPr>
        <w:t>DK-5000 Odense C</w:t>
      </w:r>
      <w:r w:rsidR="001F79B1">
        <w:rPr>
          <w:rFonts w:eastAsia="Calibri" w:cs="Calibri"/>
          <w:sz w:val="16"/>
          <w:szCs w:val="28"/>
        </w:rPr>
        <w:t>, Denmark.</w:t>
      </w:r>
      <w:proofErr w:type="gramEnd"/>
    </w:p>
    <w:p w:rsidR="007B079C" w:rsidRDefault="00FB1A83" w:rsidP="007B079C">
      <w:pPr>
        <w:rPr>
          <w:rFonts w:eastAsia="Calibri" w:cs="Calibri"/>
          <w:sz w:val="16"/>
          <w:szCs w:val="28"/>
        </w:rPr>
      </w:pPr>
      <w:r>
        <w:rPr>
          <w:rFonts w:eastAsia="Calibri" w:cs="Calibri"/>
          <w:sz w:val="16"/>
          <w:szCs w:val="28"/>
        </w:rPr>
        <w:t>2</w:t>
      </w:r>
      <w:r w:rsidR="007B079C">
        <w:rPr>
          <w:rFonts w:eastAsia="Calibri" w:cs="Calibri"/>
          <w:sz w:val="16"/>
          <w:szCs w:val="28"/>
        </w:rPr>
        <w:t>) Centre of Public Health Sciences, Faculty of Medicine, University of Iceland</w:t>
      </w:r>
      <w:r>
        <w:rPr>
          <w:rFonts w:eastAsia="Calibri" w:cs="Calibri"/>
          <w:sz w:val="16"/>
          <w:szCs w:val="28"/>
        </w:rPr>
        <w:t>.</w:t>
      </w:r>
      <w:r w:rsidR="007B079C">
        <w:rPr>
          <w:rFonts w:eastAsia="Calibri" w:cs="Calibri"/>
          <w:sz w:val="16"/>
          <w:szCs w:val="28"/>
        </w:rPr>
        <w:t xml:space="preserve"> 101 Reykjavík, Iceland</w:t>
      </w:r>
    </w:p>
    <w:p w:rsidR="007B079C" w:rsidRPr="00E9545D" w:rsidRDefault="00FB1A83" w:rsidP="007B079C">
      <w:pPr>
        <w:rPr>
          <w:rFonts w:eastAsia="Calibri" w:cs="Calibri"/>
          <w:sz w:val="16"/>
          <w:szCs w:val="28"/>
        </w:rPr>
      </w:pPr>
      <w:r>
        <w:rPr>
          <w:rFonts w:eastAsia="Calibri" w:cs="Calibri"/>
          <w:sz w:val="16"/>
          <w:szCs w:val="28"/>
        </w:rPr>
        <w:t>3</w:t>
      </w:r>
      <w:r w:rsidR="007B079C">
        <w:rPr>
          <w:rFonts w:eastAsia="Calibri" w:cs="Calibri"/>
          <w:sz w:val="16"/>
          <w:szCs w:val="28"/>
        </w:rPr>
        <w:t>) Institute for Translational Epidemiology, Mount Sinai School of Medicine</w:t>
      </w:r>
      <w:r w:rsidR="001F79B1">
        <w:rPr>
          <w:rFonts w:eastAsia="Calibri" w:cs="Calibri"/>
          <w:sz w:val="16"/>
          <w:szCs w:val="28"/>
        </w:rPr>
        <w:t>.</w:t>
      </w:r>
      <w:r w:rsidR="007B079C">
        <w:rPr>
          <w:rFonts w:eastAsia="Calibri" w:cs="Calibri"/>
          <w:sz w:val="16"/>
          <w:szCs w:val="28"/>
        </w:rPr>
        <w:t xml:space="preserve"> New York, NY 10029, USA</w:t>
      </w:r>
      <w:r w:rsidR="007B079C" w:rsidRPr="00E9545D">
        <w:rPr>
          <w:rFonts w:eastAsia="Calibri" w:cs="Calibri"/>
          <w:sz w:val="16"/>
          <w:szCs w:val="28"/>
        </w:rPr>
        <w:t xml:space="preserve"> </w:t>
      </w:r>
    </w:p>
    <w:p w:rsidR="00FB1A83" w:rsidRDefault="0009285A" w:rsidP="00FB1A83">
      <w:pPr>
        <w:rPr>
          <w:rFonts w:eastAsia="Calibri" w:cs="Calibri"/>
          <w:sz w:val="16"/>
          <w:szCs w:val="28"/>
        </w:rPr>
      </w:pPr>
      <w:r>
        <w:rPr>
          <w:rFonts w:cs="Calibri"/>
          <w:sz w:val="16"/>
          <w:szCs w:val="28"/>
        </w:rPr>
        <w:t>4</w:t>
      </w:r>
      <w:r w:rsidRPr="00E9545D">
        <w:rPr>
          <w:rFonts w:cs="Calibri"/>
          <w:sz w:val="16"/>
          <w:szCs w:val="28"/>
        </w:rPr>
        <w:t>)</w:t>
      </w:r>
      <w:r>
        <w:rPr>
          <w:rFonts w:cs="Calibri"/>
          <w:sz w:val="16"/>
          <w:szCs w:val="28"/>
        </w:rPr>
        <w:t xml:space="preserve"> Department of Clinical </w:t>
      </w:r>
      <w:proofErr w:type="gramStart"/>
      <w:r>
        <w:rPr>
          <w:rFonts w:cs="Calibri"/>
          <w:sz w:val="16"/>
          <w:szCs w:val="28"/>
        </w:rPr>
        <w:t>Chemistry  &amp;</w:t>
      </w:r>
      <w:proofErr w:type="gramEnd"/>
      <w:r>
        <w:rPr>
          <w:rFonts w:cs="Calibri"/>
          <w:sz w:val="16"/>
          <w:szCs w:val="28"/>
        </w:rPr>
        <w:t xml:space="preserve"> Pharmacology, Odense University Hospital</w:t>
      </w:r>
      <w:r>
        <w:rPr>
          <w:rFonts w:eastAsia="Calibri" w:cs="Calibri"/>
          <w:sz w:val="16"/>
          <w:szCs w:val="28"/>
        </w:rPr>
        <w:t xml:space="preserve"> </w:t>
      </w:r>
      <w:r w:rsidRPr="00E9545D">
        <w:rPr>
          <w:rFonts w:eastAsia="Calibri" w:cs="Calibri"/>
          <w:sz w:val="16"/>
          <w:szCs w:val="28"/>
        </w:rPr>
        <w:t>DK-5000 Odense C</w:t>
      </w:r>
      <w:r>
        <w:rPr>
          <w:rFonts w:eastAsia="Calibri" w:cs="Calibri"/>
          <w:sz w:val="16"/>
          <w:szCs w:val="28"/>
        </w:rPr>
        <w:t>, Denmark.</w:t>
      </w:r>
    </w:p>
    <w:p w:rsidR="00975A3E" w:rsidRPr="00E9545D" w:rsidRDefault="00975A3E" w:rsidP="00975A3E">
      <w:pPr>
        <w:rPr>
          <w:rFonts w:eastAsia="Calibri" w:cs="Calibri"/>
          <w:sz w:val="16"/>
          <w:szCs w:val="28"/>
        </w:rPr>
      </w:pPr>
    </w:p>
    <w:p w:rsidR="00975A3E" w:rsidRDefault="00975A3E">
      <w:pPr>
        <w:spacing w:after="200" w:line="276" w:lineRule="auto"/>
        <w:rPr>
          <w:rFonts w:ascii="Garamond" w:hAnsi="Garamond" w:cstheme="minorHAnsi"/>
          <w:b/>
          <w:sz w:val="28"/>
        </w:rPr>
      </w:pPr>
    </w:p>
    <w:p w:rsidR="001F79B1" w:rsidRDefault="001F79B1">
      <w:pPr>
        <w:spacing w:after="200" w:line="276" w:lineRule="auto"/>
        <w:rPr>
          <w:rFonts w:ascii="Garamond" w:hAnsi="Garamond" w:cstheme="minorHAnsi"/>
          <w:b/>
          <w:sz w:val="28"/>
        </w:rPr>
      </w:pPr>
    </w:p>
    <w:p w:rsidR="00975A3E" w:rsidRDefault="00975A3E">
      <w:pPr>
        <w:spacing w:after="200" w:line="276" w:lineRule="auto"/>
        <w:rPr>
          <w:rFonts w:ascii="Garamond" w:hAnsi="Garamond" w:cstheme="minorHAnsi"/>
          <w:b/>
          <w:sz w:val="28"/>
        </w:rPr>
      </w:pPr>
    </w:p>
    <w:p w:rsidR="00975A3E" w:rsidRPr="00975A3E" w:rsidRDefault="00975A3E" w:rsidP="00975A3E">
      <w:pPr>
        <w:rPr>
          <w:rFonts w:ascii="Garamond" w:eastAsia="Calibri" w:hAnsi="Garamond" w:cs="Calibri"/>
          <w:b/>
          <w:szCs w:val="28"/>
        </w:rPr>
      </w:pPr>
      <w:r w:rsidRPr="00975A3E">
        <w:rPr>
          <w:rFonts w:ascii="Garamond" w:eastAsia="Calibri" w:hAnsi="Garamond" w:cs="Calibri"/>
          <w:b/>
          <w:szCs w:val="28"/>
        </w:rPr>
        <w:t>Correspondence:</w:t>
      </w:r>
    </w:p>
    <w:p w:rsidR="00975A3E" w:rsidRPr="00975A3E" w:rsidRDefault="00975A3E" w:rsidP="00975A3E">
      <w:pPr>
        <w:rPr>
          <w:rFonts w:ascii="Garamond" w:hAnsi="Garamond" w:cs="Calibri"/>
          <w:szCs w:val="28"/>
        </w:rPr>
      </w:pPr>
      <w:r w:rsidRPr="00975A3E">
        <w:rPr>
          <w:rFonts w:ascii="Garamond" w:hAnsi="Garamond" w:cs="Calibri"/>
          <w:szCs w:val="28"/>
        </w:rPr>
        <w:t>Anton Pottegård, Pharmacist</w:t>
      </w:r>
    </w:p>
    <w:p w:rsidR="00975A3E" w:rsidRPr="00975A3E" w:rsidRDefault="00975A3E" w:rsidP="00975A3E">
      <w:pPr>
        <w:rPr>
          <w:rFonts w:ascii="Garamond" w:hAnsi="Garamond" w:cs="Calibri"/>
          <w:szCs w:val="28"/>
        </w:rPr>
      </w:pPr>
      <w:r w:rsidRPr="00975A3E">
        <w:rPr>
          <w:rFonts w:ascii="Garamond" w:hAnsi="Garamond" w:cs="Calibri"/>
          <w:szCs w:val="28"/>
        </w:rPr>
        <w:t xml:space="preserve">Clinical Pharmacology, University of Southern Denmark  </w:t>
      </w:r>
    </w:p>
    <w:p w:rsidR="00975A3E" w:rsidRPr="00975A3E" w:rsidRDefault="00975A3E" w:rsidP="00975A3E">
      <w:pPr>
        <w:rPr>
          <w:rFonts w:ascii="Garamond" w:hAnsi="Garamond" w:cs="Calibri"/>
          <w:szCs w:val="28"/>
          <w:lang w:val="da-DK"/>
        </w:rPr>
      </w:pPr>
      <w:r w:rsidRPr="00975A3E">
        <w:rPr>
          <w:rFonts w:ascii="Garamond" w:hAnsi="Garamond" w:cs="Calibri"/>
          <w:szCs w:val="28"/>
          <w:lang w:val="da-DK"/>
        </w:rPr>
        <w:t>JB Winsløwsvej 19, 2, 5000 Odense C, Denmark</w:t>
      </w:r>
    </w:p>
    <w:p w:rsidR="00083B3A" w:rsidRPr="00D717A3" w:rsidRDefault="00AC496E" w:rsidP="006427CF">
      <w:pPr>
        <w:rPr>
          <w:rFonts w:ascii="Garamond" w:hAnsi="Garamond" w:cs="Calibri"/>
          <w:szCs w:val="28"/>
          <w:lang w:val="da-DK"/>
        </w:rPr>
      </w:pPr>
      <w:r w:rsidRPr="00D717A3">
        <w:rPr>
          <w:rFonts w:ascii="Garamond" w:hAnsi="Garamond" w:cs="Calibri"/>
          <w:szCs w:val="28"/>
          <w:lang w:val="da-DK"/>
        </w:rPr>
        <w:t>E-mail: apottegaard@health.sdu.dk</w:t>
      </w:r>
    </w:p>
    <w:p w:rsidR="00E522CC" w:rsidRPr="00D717A3" w:rsidRDefault="00E522CC">
      <w:pPr>
        <w:spacing w:after="200" w:line="276" w:lineRule="auto"/>
        <w:rPr>
          <w:rFonts w:ascii="Garamond" w:hAnsi="Garamond" w:cs="Arial"/>
          <w:b/>
          <w:sz w:val="28"/>
          <w:szCs w:val="28"/>
          <w:lang w:val="da-DK"/>
        </w:rPr>
      </w:pPr>
      <w:r w:rsidRPr="00D717A3">
        <w:rPr>
          <w:rFonts w:ascii="Garamond" w:hAnsi="Garamond" w:cs="Arial"/>
          <w:b/>
          <w:sz w:val="28"/>
          <w:szCs w:val="28"/>
          <w:lang w:val="da-DK"/>
        </w:rPr>
        <w:br w:type="page"/>
      </w:r>
    </w:p>
    <w:p w:rsidR="000C39A0" w:rsidRPr="003E5C03" w:rsidRDefault="00FF2FCE" w:rsidP="003E5C03">
      <w:pPr>
        <w:spacing w:before="120" w:line="360" w:lineRule="auto"/>
        <w:jc w:val="both"/>
        <w:rPr>
          <w:rFonts w:ascii="Garamond" w:hAnsi="Garamond" w:cs="Arial"/>
          <w:b/>
          <w:sz w:val="28"/>
          <w:szCs w:val="28"/>
        </w:rPr>
      </w:pPr>
      <w:r w:rsidRPr="000D2568">
        <w:rPr>
          <w:rFonts w:ascii="Garamond" w:hAnsi="Garamond" w:cs="Arial"/>
          <w:b/>
          <w:sz w:val="28"/>
          <w:szCs w:val="28"/>
        </w:rPr>
        <w:lastRenderedPageBreak/>
        <w:t>Introduction</w:t>
      </w:r>
      <w:r w:rsidR="000A2DC3" w:rsidRPr="000D2568">
        <w:rPr>
          <w:rFonts w:ascii="Garamond" w:hAnsi="Garamond" w:cs="Arial"/>
          <w:b/>
          <w:sz w:val="28"/>
          <w:szCs w:val="28"/>
        </w:rPr>
        <w:t xml:space="preserve"> </w:t>
      </w:r>
    </w:p>
    <w:p w:rsidR="003E5C03" w:rsidRPr="003E5C03" w:rsidRDefault="003E5C03" w:rsidP="003E5C03">
      <w:pPr>
        <w:spacing w:line="360" w:lineRule="auto"/>
        <w:jc w:val="both"/>
        <w:rPr>
          <w:rFonts w:ascii="Garamond" w:hAnsi="Garamond"/>
        </w:rPr>
      </w:pPr>
      <w:r w:rsidRPr="003E5C03">
        <w:rPr>
          <w:rFonts w:ascii="Garamond" w:hAnsi="Garamond"/>
        </w:rPr>
        <w:t>The use of selective serotonin reuptake inhibitors (SSRIs) in children has been subject to debate and controversy.  Issues on efficacy and adverse reactions, especially reported cases of suicide-related behavior</w:t>
      </w:r>
      <w:r w:rsidR="00791FCE">
        <w:rPr>
          <w:rFonts w:ascii="Garamond" w:hAnsi="Garamond"/>
        </w:rPr>
        <w:t xml:space="preserve"> </w:t>
      </w:r>
      <w:r w:rsidR="0061148D">
        <w:rPr>
          <w:rFonts w:ascii="Garamond" w:hAnsi="Garamond"/>
        </w:rPr>
        <w:fldChar w:fldCharType="begin">
          <w:fldData xml:space="preserve">PFJlZm1hbj48Q2l0ZT48QXV0aG9yPkdpYmJvbnM8L0F1dGhvcj48WWVhcj4yMDA3PC9ZZWFyPjxS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</w:fldData>
        </w:fldChar>
      </w:r>
      <w:r w:rsidR="009816B2">
        <w:rPr>
          <w:rFonts w:ascii="Garamond" w:hAnsi="Garamond"/>
        </w:rPr>
        <w:instrText xml:space="preserve"> ADDIN REFMGR.CITE </w:instrText>
      </w:r>
      <w:r w:rsidR="009816B2">
        <w:rPr>
          <w:rFonts w:ascii="Garamond" w:hAnsi="Garamond"/>
        </w:rPr>
        <w:fldChar w:fldCharType="begin">
          <w:fldData xml:space="preserve">PFJlZm1hbj48Q2l0ZT48QXV0aG9yPkdpYmJvbnM8L0F1dGhvcj48WWVhcj4yMDA3PC9ZZWFyPjxS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</w:fldData>
        </w:fldChar>
      </w:r>
      <w:r w:rsidR="009816B2">
        <w:rPr>
          <w:rFonts w:ascii="Garamond" w:hAnsi="Garamond"/>
        </w:rPr>
        <w:instrText xml:space="preserve"> ADDIN EN.CITE.DATA </w:instrText>
      </w:r>
      <w:r w:rsidR="009816B2">
        <w:rPr>
          <w:rFonts w:ascii="Garamond" w:hAnsi="Garamond"/>
        </w:rPr>
      </w:r>
      <w:r w:rsidR="009816B2">
        <w:rPr>
          <w:rFonts w:ascii="Garamond" w:hAnsi="Garamond"/>
        </w:rPr>
        <w:fldChar w:fldCharType="end"/>
      </w:r>
      <w:r w:rsidR="0061148D">
        <w:rPr>
          <w:rFonts w:ascii="Garamond" w:hAnsi="Garamond"/>
        </w:rPr>
      </w:r>
      <w:r w:rsidR="0061148D">
        <w:rPr>
          <w:rFonts w:ascii="Garamond" w:hAnsi="Garamond"/>
        </w:rPr>
        <w:fldChar w:fldCharType="separate"/>
      </w:r>
      <w:r w:rsidR="00791FCE">
        <w:rPr>
          <w:rFonts w:ascii="Garamond" w:hAnsi="Garamond"/>
          <w:noProof/>
        </w:rPr>
        <w:t>(1;2)</w:t>
      </w:r>
      <w:r w:rsidR="0061148D">
        <w:rPr>
          <w:rFonts w:ascii="Garamond" w:hAnsi="Garamond"/>
        </w:rPr>
        <w:fldChar w:fldCharType="end"/>
      </w:r>
      <w:r w:rsidRPr="003E5C03">
        <w:rPr>
          <w:rFonts w:ascii="Garamond" w:hAnsi="Garamond"/>
        </w:rPr>
        <w:t xml:space="preserve">, have </w:t>
      </w:r>
      <w:r w:rsidR="00E76C9A">
        <w:rPr>
          <w:rFonts w:ascii="Garamond" w:hAnsi="Garamond"/>
        </w:rPr>
        <w:t xml:space="preserve">in the past decade </w:t>
      </w:r>
      <w:r w:rsidRPr="003E5C03">
        <w:rPr>
          <w:rFonts w:ascii="Garamond" w:hAnsi="Garamond"/>
        </w:rPr>
        <w:t xml:space="preserve">sparked warnings and guidelines from several Regulatory Authorities </w:t>
      </w:r>
      <w:r w:rsidR="0061148D">
        <w:rPr>
          <w:rFonts w:ascii="Garamond" w:hAnsi="Garamond"/>
        </w:rPr>
        <w:fldChar w:fldCharType="begin"/>
      </w:r>
      <w:r w:rsidR="009816B2">
        <w:rPr>
          <w:rFonts w:ascii="Garamond" w:hAnsi="Garamond"/>
        </w:rPr>
        <w:instrText xml:space="preserve"> ADDIN REFMGR.CITE &lt;Refman&gt;&lt;Cite&gt;&lt;Author&gt;The Danish Ministry of Health and Prevention&lt;/Author&gt;&lt;Year&gt;2010&lt;/Year&gt;&lt;RecNum&gt;7&lt;/RecNum&gt;&lt;IDText&gt;[Guide to medicamental treatment of children and adolescents with psychiatric disorders, VEJ no 10332]&lt;/IDText&gt;&lt;MDL Ref_Type="Online Source"&gt;&lt;Ref_Type&gt;Online Source&lt;/Ref_Type&gt;&lt;Ref_ID&gt;7&lt;/Ref_ID&gt;&lt;Title_Primary&gt;[Guide to medicamental treatment of children and adolescents with psychiatric disorders, VEJ no 10332]&lt;/Title_Primary&gt;&lt;Authors_Primary&gt;The Danish Ministry of Health and Prevention&lt;/Authors_Primary&gt;&lt;Date_Primary&gt;2010/10/12&lt;/Date_Primary&gt;&lt;Keywords&gt;Adolescent&lt;/Keywords&gt;&lt;Reprint&gt;Not in File&lt;/Reprint&gt;&lt;Date_Secondary&gt;2012/12/11&lt;/Date_Secondary&gt;&lt;Web_URL&gt;&lt;u&gt;www.retsinformation.dk/&lt;/u&gt;&lt;/Web_URL&gt;&lt;ZZ_WorkformID&gt;31&lt;/ZZ_WorkformID&gt;&lt;/MDL&gt;&lt;/Cite&gt;&lt;Cite&gt;&lt;Author&gt;European Medicines Agency (EMA)&lt;/Author&gt;&lt;Year&gt;2005&lt;/Year&gt;&lt;RecNum&gt;3&lt;/RecNum&gt;&lt;IDText&gt;European Medicines Agency finalizes review of antidepressants in children and adolescents. EMEA/CHMP/128918/2005&lt;/IDText&gt;&lt;MDL Ref_Type="Online Source"&gt;&lt;Ref_Type&gt;Online Source&lt;/Ref_Type&gt;&lt;Ref_ID&gt;3&lt;/Ref_ID&gt;&lt;Title_Primary&gt;European Medicines Agency finalizes review of antidepressants in children and adolescents. EMEA/CHMP/128918/2005&lt;/Title_Primary&gt;&lt;Authors_Primary&gt;European Medicines Agency (EMA)&lt;/Authors_Primary&gt;&lt;Date_Primary&gt;2005&lt;/Date_Primary&gt;&lt;Keywords&gt;Adolescent&lt;/Keywords&gt;&lt;Reprint&gt;Not in File&lt;/Reprint&gt;&lt;Date_Secondary&gt;2012/12/11&lt;/Date_Secondary&gt;&lt;Web_URL&gt;&lt;u&gt;www.ema.europa.eu&lt;/u&gt;&lt;/Web_URL&gt;&lt;ZZ_WorkformID&gt;31&lt;/ZZ_WorkformID&gt;&lt;/MDL&gt;&lt;/Cite&gt;&lt;/Refman&gt;</w:instrText>
      </w:r>
      <w:r w:rsidR="0061148D">
        <w:rPr>
          <w:rFonts w:ascii="Garamond" w:hAnsi="Garamond"/>
        </w:rPr>
        <w:fldChar w:fldCharType="separate"/>
      </w:r>
      <w:r w:rsidR="009816B2">
        <w:rPr>
          <w:rFonts w:ascii="Garamond" w:hAnsi="Garamond"/>
          <w:noProof/>
        </w:rPr>
        <w:t>(3;4)</w:t>
      </w:r>
      <w:r w:rsidR="0061148D">
        <w:rPr>
          <w:rFonts w:ascii="Garamond" w:hAnsi="Garamond"/>
        </w:rPr>
        <w:fldChar w:fldCharType="end"/>
      </w:r>
      <w:r w:rsidRPr="003E5C03">
        <w:rPr>
          <w:rFonts w:ascii="Garamond" w:hAnsi="Garamond"/>
        </w:rPr>
        <w:t xml:space="preserve">. Among the currently marketed SSRIs in Denmark, only fluoxetine holds an indication for major depression in children, while sertraline and fluvoxamine are indicated in cases of obsessive-compulsive disorder in children </w:t>
      </w:r>
      <w:r w:rsidR="0061148D">
        <w:rPr>
          <w:rFonts w:ascii="Garamond" w:hAnsi="Garamond"/>
        </w:rPr>
        <w:fldChar w:fldCharType="begin"/>
      </w:r>
      <w:r w:rsidR="009816B2">
        <w:rPr>
          <w:rFonts w:ascii="Garamond" w:hAnsi="Garamond"/>
        </w:rPr>
        <w:instrText xml:space="preserve"> ADDIN REFMGR.CITE &lt;Refman&gt;&lt;Cite&gt;&lt;Author&gt;Summary of Product Characteristics&lt;/Author&gt;&lt;Year&gt;2012&lt;/Year&gt;&lt;RecNum&gt;4&lt;/RecNum&gt;&lt;MDL Ref_Type="Online Source"&gt;&lt;Ref_Type&gt;Online Source&lt;/Ref_Type&gt;&lt;Ref_ID&gt;4&lt;/Ref_ID&gt;&lt;Authors_Primary&gt;Summary of Product Characteristics&lt;/Authors_Primary&gt;&lt;Date_Primary&gt;2012&lt;/Date_Primary&gt;&lt;Reprint&gt;Not in File&lt;/Reprint&gt;&lt;Date_Secondary&gt;2012/12/11&lt;/Date_Secondary&gt;&lt;Web_URL&gt;&lt;u&gt;www.produktresume.dk&lt;/u&gt;&lt;/Web_URL&gt;&lt;ZZ_WorkformID&gt;31&lt;/ZZ_WorkformID&gt;&lt;/MDL&gt;&lt;/Cite&gt;&lt;/Refman&gt;</w:instrText>
      </w:r>
      <w:r w:rsidR="0061148D">
        <w:rPr>
          <w:rFonts w:ascii="Garamond" w:hAnsi="Garamond"/>
        </w:rPr>
        <w:fldChar w:fldCharType="separate"/>
      </w:r>
      <w:r w:rsidR="00791FCE">
        <w:rPr>
          <w:rFonts w:ascii="Garamond" w:hAnsi="Garamond"/>
          <w:noProof/>
        </w:rPr>
        <w:t>(5)</w:t>
      </w:r>
      <w:r w:rsidR="0061148D">
        <w:rPr>
          <w:rFonts w:ascii="Garamond" w:hAnsi="Garamond"/>
        </w:rPr>
        <w:fldChar w:fldCharType="end"/>
      </w:r>
      <w:r w:rsidRPr="003E5C03">
        <w:rPr>
          <w:rFonts w:ascii="Garamond" w:hAnsi="Garamond"/>
        </w:rPr>
        <w:t xml:space="preserve">. </w:t>
      </w:r>
    </w:p>
    <w:p w:rsidR="003E5C03" w:rsidRPr="003E5C03" w:rsidRDefault="007D07A8" w:rsidP="003E5C03">
      <w:pPr>
        <w:spacing w:line="360" w:lineRule="auto"/>
        <w:jc w:val="both"/>
        <w:rPr>
          <w:rFonts w:ascii="Garamond" w:hAnsi="Garamond"/>
        </w:rPr>
      </w:pPr>
      <w:r>
        <w:rPr>
          <w:rFonts w:ascii="Garamond" w:hAnsi="Garamond"/>
        </w:rPr>
        <w:t>The c</w:t>
      </w:r>
      <w:r w:rsidR="003E5C03" w:rsidRPr="003E5C03">
        <w:rPr>
          <w:rFonts w:ascii="Garamond" w:hAnsi="Garamond"/>
        </w:rPr>
        <w:t xml:space="preserve">urrent </w:t>
      </w:r>
      <w:r>
        <w:rPr>
          <w:rFonts w:ascii="Garamond" w:hAnsi="Garamond"/>
        </w:rPr>
        <w:t xml:space="preserve">knowledge of </w:t>
      </w:r>
      <w:r w:rsidR="003E5C03" w:rsidRPr="003E5C03">
        <w:rPr>
          <w:rFonts w:ascii="Garamond" w:hAnsi="Garamond"/>
        </w:rPr>
        <w:t xml:space="preserve">SSRI drug utilization in Danish children is </w:t>
      </w:r>
      <w:r>
        <w:rPr>
          <w:rFonts w:ascii="Garamond" w:hAnsi="Garamond"/>
        </w:rPr>
        <w:t>limited</w:t>
      </w:r>
      <w:r w:rsidR="003E5C03" w:rsidRPr="003E5C03">
        <w:rPr>
          <w:rFonts w:ascii="Garamond" w:hAnsi="Garamond"/>
        </w:rPr>
        <w:t xml:space="preserve">. The Danish Ministry of Health and Prevention reported cross-sectional data on the utilization of SSRIs </w:t>
      </w:r>
      <w:r w:rsidR="00E76C9A">
        <w:rPr>
          <w:rFonts w:ascii="Garamond" w:hAnsi="Garamond"/>
        </w:rPr>
        <w:t>among</w:t>
      </w:r>
      <w:r w:rsidR="003E5C03" w:rsidRPr="003E5C03">
        <w:rPr>
          <w:rFonts w:ascii="Garamond" w:hAnsi="Garamond"/>
        </w:rPr>
        <w:t xml:space="preserve"> children and adolescents </w:t>
      </w:r>
      <w:r w:rsidR="00E76C9A">
        <w:rPr>
          <w:rFonts w:ascii="Garamond" w:hAnsi="Garamond"/>
        </w:rPr>
        <w:t xml:space="preserve">in </w:t>
      </w:r>
      <w:r w:rsidR="003E5C03" w:rsidRPr="003E5C03">
        <w:rPr>
          <w:rFonts w:ascii="Garamond" w:hAnsi="Garamond"/>
        </w:rPr>
        <w:t xml:space="preserve">2010 </w:t>
      </w:r>
      <w:r w:rsidR="0061148D">
        <w:rPr>
          <w:rFonts w:ascii="Garamond" w:hAnsi="Garamond"/>
        </w:rPr>
        <w:fldChar w:fldCharType="begin"/>
      </w:r>
      <w:r w:rsidR="009816B2">
        <w:rPr>
          <w:rFonts w:ascii="Garamond" w:hAnsi="Garamond"/>
        </w:rPr>
        <w:instrText xml:space="preserve"> ADDIN REFMGR.CITE &lt;Refman&gt;&lt;Cite&gt;&lt;Author&gt;Danish Medicines Agency&lt;/Author&gt;&lt;Year&gt;2012&lt;/Year&gt;&lt;RecNum&gt;5&lt;/RecNum&gt;&lt;IDText&gt;[Drugs against depression for children and adolescents]&lt;/IDText&gt;&lt;MDL Ref_Type="Online Source"&gt;&lt;Ref_Type&gt;Online Source&lt;/Ref_Type&gt;&lt;Ref_ID&gt;5&lt;/Ref_ID&gt;&lt;Title_Primary&gt;[Drugs against depression for children and adolescents]&lt;/Title_Primary&gt;&lt;Authors_Primary&gt;Danish Medicines Agency&lt;/Authors_Primary&gt;&lt;Date_Primary&gt;2012&lt;/Date_Primary&gt;&lt;Reprint&gt;Not in File&lt;/Reprint&gt;&lt;Date_Secondary&gt;2012/12/11&lt;/Date_Secondary&gt;&lt;Web_URL&gt;&lt;u&gt;www.laegemiddelstyrelsen.dk&lt;/u&gt;&lt;/Web_URL&gt;&lt;ZZ_WorkformID&gt;31&lt;/ZZ_WorkformID&gt;&lt;/MDL&gt;&lt;/Cite&gt;&lt;/Refman&gt;</w:instrText>
      </w:r>
      <w:r w:rsidR="0061148D">
        <w:rPr>
          <w:rFonts w:ascii="Garamond" w:hAnsi="Garamond"/>
        </w:rPr>
        <w:fldChar w:fldCharType="separate"/>
      </w:r>
      <w:r w:rsidR="00791FCE">
        <w:rPr>
          <w:rFonts w:ascii="Garamond" w:hAnsi="Garamond"/>
          <w:noProof/>
        </w:rPr>
        <w:t>(6)</w:t>
      </w:r>
      <w:r w:rsidR="0061148D">
        <w:rPr>
          <w:rFonts w:ascii="Garamond" w:hAnsi="Garamond"/>
        </w:rPr>
        <w:fldChar w:fldCharType="end"/>
      </w:r>
      <w:r w:rsidR="003E5C03" w:rsidRPr="003E5C03">
        <w:rPr>
          <w:rFonts w:ascii="Garamond" w:hAnsi="Garamond"/>
        </w:rPr>
        <w:t xml:space="preserve">, identifying 2,802 new users of SSRIs below the age of 18 years among a total of 5,677 users </w:t>
      </w:r>
      <w:r w:rsidR="00E76C9A">
        <w:rPr>
          <w:rFonts w:ascii="Garamond" w:hAnsi="Garamond"/>
        </w:rPr>
        <w:t>in that year.</w:t>
      </w:r>
      <w:r w:rsidR="003E5C03" w:rsidRPr="003E5C03">
        <w:rPr>
          <w:rFonts w:ascii="Garamond" w:hAnsi="Garamond"/>
        </w:rPr>
        <w:t xml:space="preserve"> There are no specific data on </w:t>
      </w:r>
      <w:r w:rsidR="003E5C03">
        <w:rPr>
          <w:rFonts w:ascii="Garamond" w:hAnsi="Garamond"/>
        </w:rPr>
        <w:t>crucial drug utilization parameters such as regional differences,</w:t>
      </w:r>
      <w:r w:rsidR="003E5C03" w:rsidRPr="003E5C03">
        <w:rPr>
          <w:rFonts w:ascii="Garamond" w:hAnsi="Garamond"/>
        </w:rPr>
        <w:t xml:space="preserve"> time-trends, </w:t>
      </w:r>
      <w:r w:rsidR="00E76C9A">
        <w:rPr>
          <w:rFonts w:ascii="Garamond" w:hAnsi="Garamond"/>
        </w:rPr>
        <w:t xml:space="preserve">co-medication </w:t>
      </w:r>
      <w:r w:rsidR="003E5C03" w:rsidRPr="003E5C03">
        <w:rPr>
          <w:rFonts w:ascii="Garamond" w:hAnsi="Garamond"/>
        </w:rPr>
        <w:t xml:space="preserve">or duration of therapy. </w:t>
      </w:r>
    </w:p>
    <w:p w:rsidR="003E5C03" w:rsidRPr="003E5C03" w:rsidRDefault="003E5C03" w:rsidP="003E5C03">
      <w:pPr>
        <w:spacing w:line="360" w:lineRule="auto"/>
        <w:jc w:val="both"/>
        <w:rPr>
          <w:rFonts w:ascii="Garamond" w:hAnsi="Garamond"/>
        </w:rPr>
      </w:pPr>
      <w:r w:rsidRPr="003E5C03">
        <w:rPr>
          <w:rFonts w:ascii="Garamond" w:hAnsi="Garamond"/>
        </w:rPr>
        <w:t xml:space="preserve">Using the powerful and validated nationwide Danish prescription database </w:t>
      </w:r>
      <w:r w:rsidR="0061148D">
        <w:rPr>
          <w:rFonts w:ascii="Garamond" w:hAnsi="Garamond"/>
        </w:rPr>
        <w:fldChar w:fldCharType="begin">
          <w:fldData xml:space="preserve">PFJlZm1hbj48Q2l0ZT48QXV0aG9yPkZyYW5rPC9BdXRob3I+PFllYXI+MjAwMDwvWWVhcj48UmVj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</w:fldData>
        </w:fldChar>
      </w:r>
      <w:r w:rsidR="009816B2">
        <w:rPr>
          <w:rFonts w:ascii="Garamond" w:hAnsi="Garamond"/>
        </w:rPr>
        <w:instrText xml:space="preserve"> ADDIN REFMGR.CITE </w:instrText>
      </w:r>
      <w:r w:rsidR="009816B2">
        <w:rPr>
          <w:rFonts w:ascii="Garamond" w:hAnsi="Garamond"/>
        </w:rPr>
        <w:fldChar w:fldCharType="begin">
          <w:fldData xml:space="preserve">PFJlZm1hbj48Q2l0ZT48QXV0aG9yPkZyYW5rPC9BdXRob3I+PFllYXI+MjAwMDwvWWVhcj48UmVj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</w:fldData>
        </w:fldChar>
      </w:r>
      <w:r w:rsidR="009816B2">
        <w:rPr>
          <w:rFonts w:ascii="Garamond" w:hAnsi="Garamond"/>
        </w:rPr>
        <w:instrText xml:space="preserve"> ADDIN EN.CITE.DATA </w:instrText>
      </w:r>
      <w:r w:rsidR="009816B2">
        <w:rPr>
          <w:rFonts w:ascii="Garamond" w:hAnsi="Garamond"/>
        </w:rPr>
      </w:r>
      <w:r w:rsidR="009816B2">
        <w:rPr>
          <w:rFonts w:ascii="Garamond" w:hAnsi="Garamond"/>
        </w:rPr>
        <w:fldChar w:fldCharType="end"/>
      </w:r>
      <w:r w:rsidR="0061148D">
        <w:rPr>
          <w:rFonts w:ascii="Garamond" w:hAnsi="Garamond"/>
        </w:rPr>
      </w:r>
      <w:r w:rsidR="0061148D">
        <w:rPr>
          <w:rFonts w:ascii="Garamond" w:hAnsi="Garamond"/>
        </w:rPr>
        <w:fldChar w:fldCharType="separate"/>
      </w:r>
      <w:r w:rsidR="00791FCE">
        <w:rPr>
          <w:rFonts w:ascii="Garamond" w:hAnsi="Garamond"/>
          <w:noProof/>
        </w:rPr>
        <w:t>(7-9)</w:t>
      </w:r>
      <w:r w:rsidR="0061148D">
        <w:rPr>
          <w:rFonts w:ascii="Garamond" w:hAnsi="Garamond"/>
        </w:rPr>
        <w:fldChar w:fldCharType="end"/>
      </w:r>
      <w:r w:rsidRPr="003E5C03">
        <w:rPr>
          <w:rFonts w:ascii="Garamond" w:hAnsi="Garamond"/>
        </w:rPr>
        <w:t>, we aim</w:t>
      </w:r>
      <w:r>
        <w:rPr>
          <w:rFonts w:ascii="Garamond" w:hAnsi="Garamond"/>
        </w:rPr>
        <w:t>ed</w:t>
      </w:r>
      <w:r w:rsidRPr="003E5C03">
        <w:rPr>
          <w:rFonts w:ascii="Garamond" w:hAnsi="Garamond"/>
        </w:rPr>
        <w:t xml:space="preserve"> to provide a detailed study of prescription patterns of SSRIs among children below the age of 18 in Denmark from 1995-2011.</w:t>
      </w:r>
    </w:p>
    <w:p w:rsidR="004C60F5" w:rsidRPr="00824BF6" w:rsidRDefault="004C60F5" w:rsidP="004965D8">
      <w:pPr>
        <w:spacing w:line="360" w:lineRule="auto"/>
        <w:rPr>
          <w:rFonts w:ascii="Garamond" w:hAnsi="Garamond"/>
          <w:b/>
          <w:szCs w:val="24"/>
        </w:rPr>
      </w:pPr>
    </w:p>
    <w:p w:rsidR="000971D1" w:rsidRPr="00824BF6" w:rsidRDefault="000971D1" w:rsidP="004965D8">
      <w:pPr>
        <w:spacing w:line="360" w:lineRule="auto"/>
        <w:rPr>
          <w:rFonts w:ascii="Garamond" w:hAnsi="Garamond"/>
          <w:b/>
          <w:szCs w:val="24"/>
        </w:rPr>
      </w:pPr>
    </w:p>
    <w:p w:rsidR="004965D8" w:rsidRPr="002F79AB" w:rsidRDefault="002F79AB" w:rsidP="004965D8">
      <w:pPr>
        <w:spacing w:line="360" w:lineRule="auto"/>
        <w:rPr>
          <w:rFonts w:ascii="Garamond" w:hAnsi="Garamond"/>
          <w:b/>
          <w:sz w:val="28"/>
          <w:szCs w:val="28"/>
        </w:rPr>
      </w:pPr>
      <w:r w:rsidRPr="002F79AB">
        <w:rPr>
          <w:rFonts w:ascii="Garamond" w:hAnsi="Garamond"/>
          <w:b/>
          <w:sz w:val="28"/>
          <w:szCs w:val="28"/>
        </w:rPr>
        <w:t>Method</w:t>
      </w:r>
      <w:r w:rsidR="007B079C">
        <w:rPr>
          <w:rFonts w:ascii="Garamond" w:hAnsi="Garamond"/>
          <w:b/>
          <w:sz w:val="28"/>
          <w:szCs w:val="28"/>
        </w:rPr>
        <w:t>s</w:t>
      </w:r>
    </w:p>
    <w:p w:rsidR="006D57B2" w:rsidRDefault="00FB1A83" w:rsidP="008815B7">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both"/>
        <w:rPr>
          <w:rFonts w:ascii="Garamond" w:hAnsi="Garamond"/>
          <w:szCs w:val="24"/>
        </w:rPr>
      </w:pPr>
      <w:r>
        <w:rPr>
          <w:rFonts w:ascii="Garamond" w:hAnsi="Garamond"/>
        </w:rPr>
        <w:t xml:space="preserve">In this study we described the use of </w:t>
      </w:r>
      <w:r w:rsidR="007C172C">
        <w:rPr>
          <w:rFonts w:ascii="Garamond" w:hAnsi="Garamond"/>
        </w:rPr>
        <w:t xml:space="preserve">SSRIs </w:t>
      </w:r>
      <w:r>
        <w:rPr>
          <w:rFonts w:ascii="Garamond" w:hAnsi="Garamond"/>
        </w:rPr>
        <w:t>among children in Denmark, using descriptive statistics.</w:t>
      </w:r>
      <w:r w:rsidR="008815B7">
        <w:rPr>
          <w:rFonts w:ascii="Garamond" w:hAnsi="Garamond"/>
        </w:rPr>
        <w:t xml:space="preserve"> We obtained </w:t>
      </w:r>
      <w:r w:rsidR="00D02D14">
        <w:rPr>
          <w:rFonts w:ascii="Garamond" w:hAnsi="Garamond"/>
        </w:rPr>
        <w:t xml:space="preserve">prescription data </w:t>
      </w:r>
      <w:r>
        <w:rPr>
          <w:rFonts w:ascii="Garamond" w:hAnsi="Garamond"/>
          <w:szCs w:val="24"/>
        </w:rPr>
        <w:t xml:space="preserve">for all children in Denmark aged </w:t>
      </w:r>
      <w:r w:rsidR="0076623C">
        <w:rPr>
          <w:rFonts w:ascii="Garamond" w:hAnsi="Garamond"/>
          <w:szCs w:val="24"/>
        </w:rPr>
        <w:t>5-</w:t>
      </w:r>
      <w:r>
        <w:rPr>
          <w:rFonts w:ascii="Garamond" w:hAnsi="Garamond"/>
          <w:szCs w:val="24"/>
        </w:rPr>
        <w:t>1</w:t>
      </w:r>
      <w:r w:rsidR="007C172C">
        <w:rPr>
          <w:rFonts w:ascii="Garamond" w:hAnsi="Garamond"/>
          <w:szCs w:val="24"/>
        </w:rPr>
        <w:t>7</w:t>
      </w:r>
      <w:r>
        <w:rPr>
          <w:rFonts w:ascii="Garamond" w:hAnsi="Garamond"/>
          <w:szCs w:val="24"/>
        </w:rPr>
        <w:t xml:space="preserve"> years during the period Janu</w:t>
      </w:r>
      <w:r w:rsidR="00CF3A0B">
        <w:rPr>
          <w:rFonts w:ascii="Garamond" w:hAnsi="Garamond"/>
          <w:szCs w:val="24"/>
        </w:rPr>
        <w:t>ary 1, 1995 to December 31, 2011</w:t>
      </w:r>
      <w:r>
        <w:rPr>
          <w:rFonts w:ascii="Garamond" w:hAnsi="Garamond"/>
          <w:szCs w:val="24"/>
        </w:rPr>
        <w:t>.</w:t>
      </w:r>
      <w:r w:rsidR="0076623C">
        <w:rPr>
          <w:rFonts w:ascii="Garamond" w:hAnsi="Garamond"/>
          <w:szCs w:val="24"/>
        </w:rPr>
        <w:t xml:space="preserve"> </w:t>
      </w:r>
      <w:r w:rsidR="00B16C4A">
        <w:rPr>
          <w:rFonts w:ascii="Garamond" w:hAnsi="Garamond"/>
          <w:szCs w:val="24"/>
        </w:rPr>
        <w:t xml:space="preserve">On average, </w:t>
      </w:r>
      <w:r w:rsidR="00EB545C">
        <w:rPr>
          <w:rFonts w:ascii="Garamond" w:hAnsi="Garamond"/>
          <w:szCs w:val="24"/>
        </w:rPr>
        <w:t>1,233,165</w:t>
      </w:r>
      <w:r w:rsidR="00B16C4A">
        <w:rPr>
          <w:rFonts w:ascii="Garamond" w:hAnsi="Garamond"/>
          <w:szCs w:val="24"/>
        </w:rPr>
        <w:t xml:space="preserve"> children of this age resided in Denmark during the study years. </w:t>
      </w:r>
      <w:r w:rsidR="006459F4">
        <w:rPr>
          <w:rFonts w:ascii="Garamond" w:hAnsi="Garamond"/>
          <w:szCs w:val="24"/>
        </w:rPr>
        <w:t xml:space="preserve">We excluded </w:t>
      </w:r>
      <w:r w:rsidR="0076623C">
        <w:rPr>
          <w:rFonts w:ascii="Garamond" w:hAnsi="Garamond"/>
          <w:szCs w:val="24"/>
        </w:rPr>
        <w:t xml:space="preserve">children &lt;5 years old </w:t>
      </w:r>
      <w:r w:rsidR="006459F4">
        <w:rPr>
          <w:rFonts w:ascii="Garamond" w:hAnsi="Garamond"/>
          <w:szCs w:val="24"/>
        </w:rPr>
        <w:t xml:space="preserve">as our </w:t>
      </w:r>
      <w:r w:rsidR="00D14984">
        <w:rPr>
          <w:rFonts w:ascii="Garamond" w:hAnsi="Garamond"/>
          <w:szCs w:val="24"/>
        </w:rPr>
        <w:t>preliminary</w:t>
      </w:r>
      <w:r w:rsidR="0076623C">
        <w:rPr>
          <w:rFonts w:ascii="Garamond" w:hAnsi="Garamond"/>
          <w:szCs w:val="24"/>
        </w:rPr>
        <w:t xml:space="preserve"> analyses</w:t>
      </w:r>
      <w:r w:rsidR="006459F4">
        <w:rPr>
          <w:rFonts w:ascii="Garamond" w:hAnsi="Garamond"/>
          <w:szCs w:val="24"/>
        </w:rPr>
        <w:t xml:space="preserve"> based on </w:t>
      </w:r>
      <w:r w:rsidR="0076623C">
        <w:rPr>
          <w:rFonts w:ascii="Garamond" w:hAnsi="Garamond"/>
          <w:szCs w:val="24"/>
        </w:rPr>
        <w:t>publicly available prescription data</w:t>
      </w:r>
      <w:r w:rsidR="00416FBB">
        <w:rPr>
          <w:rFonts w:ascii="Garamond" w:hAnsi="Garamond"/>
          <w:szCs w:val="24"/>
        </w:rPr>
        <w:t xml:space="preserve"> </w:t>
      </w:r>
      <w:r w:rsidR="0061148D">
        <w:rPr>
          <w:rFonts w:ascii="Garamond" w:hAnsi="Garamond"/>
          <w:szCs w:val="24"/>
        </w:rPr>
        <w:fldChar w:fldCharType="begin"/>
      </w:r>
      <w:r w:rsidR="009816B2">
        <w:rPr>
          <w:rFonts w:ascii="Garamond" w:hAnsi="Garamond"/>
          <w:szCs w:val="24"/>
        </w:rPr>
        <w:instrText xml:space="preserve"> ADDIN REFMGR.CITE &lt;Refman&gt;&lt;Cite&gt;&lt;Author&gt;Danish Medicines Agency&lt;/Author&gt;&lt;Year&gt;2011&lt;/Year&gt;&lt;RecNum&gt;13&lt;/RecNum&gt;&lt;IDText&gt;Medstat.dk&lt;/IDText&gt;&lt;MDL Ref_Type="Online Source"&gt;&lt;Ref_Type&gt;Online Source&lt;/Ref_Type&gt;&lt;Ref_ID&gt;13&lt;/Ref_ID&gt;&lt;Title_Primary&gt;Medstat.dk&lt;/Title_Primary&gt;&lt;Authors_Primary&gt;Danish Medicines Agency&lt;/Authors_Primary&gt;&lt;Date_Primary&gt;2011&lt;/Date_Primary&gt;&lt;Reprint&gt;Not in File&lt;/Reprint&gt;&lt;Web_URL&gt;&lt;u&gt;www.medstat.dk/en&lt;/u&gt;&lt;/Web_URL&gt;&lt;ZZ_WorkformID&gt;31&lt;/ZZ_WorkformID&gt;&lt;/MDL&gt;&lt;/Cite&gt;&lt;/Refman&gt;</w:instrText>
      </w:r>
      <w:r w:rsidR="0061148D">
        <w:rPr>
          <w:rFonts w:ascii="Garamond" w:hAnsi="Garamond"/>
          <w:szCs w:val="24"/>
        </w:rPr>
        <w:fldChar w:fldCharType="separate"/>
      </w:r>
      <w:r w:rsidR="00791FCE">
        <w:rPr>
          <w:rFonts w:ascii="Garamond" w:hAnsi="Garamond"/>
          <w:noProof/>
          <w:szCs w:val="24"/>
        </w:rPr>
        <w:t>(10)</w:t>
      </w:r>
      <w:r w:rsidR="0061148D">
        <w:rPr>
          <w:rFonts w:ascii="Garamond" w:hAnsi="Garamond"/>
          <w:szCs w:val="24"/>
        </w:rPr>
        <w:fldChar w:fldCharType="end"/>
      </w:r>
      <w:r w:rsidR="0076623C">
        <w:rPr>
          <w:rFonts w:ascii="Garamond" w:hAnsi="Garamond"/>
          <w:szCs w:val="24"/>
        </w:rPr>
        <w:t>, show</w:t>
      </w:r>
      <w:r w:rsidR="006459F4">
        <w:rPr>
          <w:rFonts w:ascii="Garamond" w:hAnsi="Garamond"/>
          <w:szCs w:val="24"/>
        </w:rPr>
        <w:t xml:space="preserve">ed </w:t>
      </w:r>
      <w:r w:rsidR="0076623C">
        <w:rPr>
          <w:rFonts w:ascii="Garamond" w:hAnsi="Garamond"/>
          <w:szCs w:val="24"/>
        </w:rPr>
        <w:t xml:space="preserve">negligible </w:t>
      </w:r>
      <w:r w:rsidR="00416FBB">
        <w:rPr>
          <w:rFonts w:ascii="Garamond" w:hAnsi="Garamond"/>
          <w:szCs w:val="24"/>
        </w:rPr>
        <w:t>use of SSRIs</w:t>
      </w:r>
      <w:r w:rsidR="0076623C">
        <w:rPr>
          <w:rFonts w:ascii="Garamond" w:hAnsi="Garamond"/>
          <w:szCs w:val="24"/>
        </w:rPr>
        <w:t xml:space="preserve"> in this </w:t>
      </w:r>
      <w:r w:rsidR="001A3BE1">
        <w:rPr>
          <w:rFonts w:ascii="Garamond" w:hAnsi="Garamond"/>
          <w:szCs w:val="24"/>
        </w:rPr>
        <w:t xml:space="preserve">age </w:t>
      </w:r>
      <w:r w:rsidR="0076623C">
        <w:rPr>
          <w:rFonts w:ascii="Garamond" w:hAnsi="Garamond"/>
          <w:szCs w:val="24"/>
        </w:rPr>
        <w:t>group.</w:t>
      </w:r>
      <w:r w:rsidR="00B16C4A">
        <w:rPr>
          <w:rFonts w:ascii="Garamond" w:hAnsi="Garamond"/>
          <w:szCs w:val="24"/>
        </w:rPr>
        <w:t xml:space="preserve"> </w:t>
      </w:r>
    </w:p>
    <w:p w:rsidR="00C149E3" w:rsidRDefault="00C149E3" w:rsidP="004965D8">
      <w:pPr>
        <w:spacing w:line="360" w:lineRule="auto"/>
        <w:rPr>
          <w:rFonts w:ascii="Garamond" w:hAnsi="Garamond"/>
          <w:b/>
          <w:szCs w:val="24"/>
        </w:rPr>
      </w:pPr>
    </w:p>
    <w:p w:rsidR="002F79AB" w:rsidRDefault="00D02D14" w:rsidP="00C149E3">
      <w:pPr>
        <w:spacing w:line="360" w:lineRule="auto"/>
        <w:rPr>
          <w:rFonts w:ascii="Garamond" w:hAnsi="Garamond"/>
          <w:b/>
          <w:szCs w:val="24"/>
        </w:rPr>
      </w:pPr>
      <w:r>
        <w:rPr>
          <w:rFonts w:ascii="Garamond" w:hAnsi="Garamond"/>
          <w:b/>
          <w:szCs w:val="24"/>
        </w:rPr>
        <w:t>Data source</w:t>
      </w:r>
    </w:p>
    <w:p w:rsidR="00D02D14" w:rsidRPr="00D02D14" w:rsidRDefault="00D02D14" w:rsidP="00E171D5">
      <w:pPr>
        <w:autoSpaceDE w:val="0"/>
        <w:autoSpaceDN w:val="0"/>
        <w:adjustRightInd w:val="0"/>
        <w:spacing w:line="360" w:lineRule="auto"/>
        <w:jc w:val="both"/>
        <w:rPr>
          <w:rFonts w:ascii="Garamond" w:eastAsiaTheme="minorHAnsi" w:hAnsi="Garamond" w:cs="AdvTT3713a231"/>
          <w:color w:val="131413"/>
          <w:szCs w:val="24"/>
          <w:lang w:eastAsia="en-US"/>
        </w:rPr>
      </w:pPr>
      <w:r w:rsidRPr="00D02D14">
        <w:rPr>
          <w:rFonts w:ascii="Garamond" w:eastAsiaTheme="minorHAnsi" w:hAnsi="Garamond" w:cs="AdvTT3713a231"/>
          <w:color w:val="131413"/>
          <w:szCs w:val="24"/>
          <w:lang w:eastAsia="en-US"/>
        </w:rPr>
        <w:t xml:space="preserve">National data on drug use in Denmark was extracted from the </w:t>
      </w:r>
      <w:r w:rsidR="007653FE">
        <w:rPr>
          <w:rFonts w:ascii="Garamond" w:eastAsiaTheme="minorHAnsi" w:hAnsi="Garamond" w:cs="AdvTT3713a231"/>
          <w:color w:val="131413"/>
          <w:szCs w:val="24"/>
          <w:lang w:eastAsia="en-US"/>
        </w:rPr>
        <w:t xml:space="preserve">Danish National Prescription Database </w:t>
      </w:r>
      <w:r w:rsidR="0061148D" w:rsidRPr="00D02D14">
        <w:rPr>
          <w:rFonts w:ascii="Garamond" w:eastAsiaTheme="minorHAnsi" w:hAnsi="Garamond" w:cs="Garamond"/>
          <w:szCs w:val="24"/>
          <w:lang w:eastAsia="en-US"/>
        </w:rPr>
        <w:fldChar w:fldCharType="begin"/>
      </w:r>
      <w:r w:rsidR="009816B2">
        <w:rPr>
          <w:rFonts w:ascii="Garamond" w:eastAsiaTheme="minorHAnsi" w:hAnsi="Garamond" w:cs="Garamond"/>
          <w:szCs w:val="24"/>
          <w:lang w:eastAsia="en-US"/>
        </w:rPr>
        <w:instrText xml:space="preserve"> ADDIN REFMGR.CITE &lt;Refman&gt;&lt;Cite&gt;&lt;Author&gt;Kildemoes&lt;/Author&gt;&lt;Year&gt;2011&lt;/Year&gt;&lt;RecNum&gt;19&lt;/RecNum&gt;&lt;IDText&gt;The Danish National Prescription Registry&lt;/IDText&gt;&lt;MDL Ref_Type="Journal"&gt;&lt;Ref_Type&gt;Journal&lt;/Ref_Type&gt;&lt;Ref_ID&gt;19&lt;/Ref_ID&gt;&lt;Title_Primary&gt;The Danish National Prescription Registry&lt;/Title_Primary&gt;&lt;Authors_Primary&gt;Kildemoes,H.W.&lt;/Authors_Primary&gt;&lt;Authors_Primary&gt;Sorensen,H.T.&lt;/Authors_Primary&gt;&lt;Authors_Primary&gt;Hallas,J.&lt;/Authors_Primary&gt;&lt;Date_Primary&gt;2011/7&lt;/Date_Primary&gt;&lt;Keywords&gt;Denmark&lt;/Keywords&gt;&lt;Keywords&gt;Drug Prescriptions&lt;/Keywords&gt;&lt;Keywords&gt;Humans&lt;/Keywords&gt;&lt;Keywords&gt;Pharmacoepidemiology&lt;/Keywords&gt;&lt;Keywords&gt;Registries&lt;/Keywords&gt;&lt;Keywords&gt;Research&lt;/Keywords&gt;&lt;Keywords&gt;standards&lt;/Keywords&gt;&lt;Keywords&gt;statistics &amp;amp; numerical data&lt;/Keywords&gt;&lt;Reprint&gt;Not in File&lt;/Reprint&gt;&lt;Start_Page&gt;38&lt;/Start_Page&gt;&lt;End_Page&gt;41&lt;/End_Page&gt;&lt;Periodical&gt;Scand.J Public Health&lt;/Periodical&gt;&lt;Volume&gt;39&lt;/Volume&gt;&lt;Issue&gt;7 Suppl&lt;/Issue&gt;&lt;Misc_3&gt;39/7_suppl/38 [pii];10.1177/1403494810394717 [doi]&lt;/Misc_3&gt;&lt;Address&gt;Center for Healthy Ageing, Department of Public Health, University of Copenhagen, Denmark. hewk@sund.ku.dk&lt;/Address&gt;&lt;Web_URL&gt;PM:21775349&lt;/Web_URL&gt;&lt;ZZ_JournalFull&gt;&lt;f name="System"&gt;Scand.J Public Health&lt;/f&gt;&lt;/ZZ_JournalFull&gt;&lt;ZZ_WorkformID&gt;1&lt;/ZZ_WorkformID&gt;&lt;/MDL&gt;&lt;/Cite&gt;&lt;/Refman&gt;</w:instrText>
      </w:r>
      <w:r w:rsidR="0061148D" w:rsidRPr="00D02D14">
        <w:rPr>
          <w:rFonts w:ascii="Garamond" w:eastAsiaTheme="minorHAnsi" w:hAnsi="Garamond" w:cs="Garamond"/>
          <w:szCs w:val="24"/>
          <w:lang w:eastAsia="en-US"/>
        </w:rPr>
        <w:fldChar w:fldCharType="separate"/>
      </w:r>
      <w:r w:rsidR="00791FCE">
        <w:rPr>
          <w:rFonts w:ascii="Garamond" w:eastAsiaTheme="minorHAnsi" w:hAnsi="Garamond" w:cs="Garamond"/>
          <w:noProof/>
          <w:szCs w:val="24"/>
          <w:lang w:eastAsia="en-US"/>
        </w:rPr>
        <w:t>(11)</w:t>
      </w:r>
      <w:r w:rsidR="0061148D" w:rsidRPr="00D02D14">
        <w:rPr>
          <w:rFonts w:ascii="Garamond" w:eastAsiaTheme="minorHAnsi" w:hAnsi="Garamond" w:cs="Garamond"/>
          <w:szCs w:val="24"/>
          <w:lang w:eastAsia="en-US"/>
        </w:rPr>
        <w:fldChar w:fldCharType="end"/>
      </w:r>
      <w:r w:rsidRPr="00D02D14">
        <w:rPr>
          <w:rFonts w:ascii="Garamond" w:eastAsiaTheme="minorHAnsi" w:hAnsi="Garamond" w:cs="AdvTT3713a231"/>
          <w:color w:val="131413"/>
          <w:szCs w:val="24"/>
          <w:lang w:eastAsia="en-US"/>
        </w:rPr>
        <w:t xml:space="preserve">. </w:t>
      </w:r>
      <w:r w:rsidR="001A3BE1">
        <w:rPr>
          <w:rFonts w:ascii="Garamond" w:eastAsiaTheme="minorHAnsi" w:hAnsi="Garamond" w:cs="AdvTT3713a231"/>
          <w:color w:val="131413"/>
          <w:szCs w:val="24"/>
          <w:lang w:eastAsia="en-US"/>
        </w:rPr>
        <w:t>The Registry contains complete information</w:t>
      </w:r>
      <w:r w:rsidR="00E171D5">
        <w:rPr>
          <w:rFonts w:ascii="Garamond" w:eastAsiaTheme="minorHAnsi" w:hAnsi="Garamond" w:cs="AdvTT3713a231"/>
          <w:color w:val="131413"/>
          <w:szCs w:val="24"/>
          <w:lang w:eastAsia="en-US"/>
        </w:rPr>
        <w:t>,</w:t>
      </w:r>
      <w:r w:rsidR="001A3BE1">
        <w:rPr>
          <w:rFonts w:ascii="Garamond" w:eastAsiaTheme="minorHAnsi" w:hAnsi="Garamond" w:cs="AdvTT3713a231"/>
          <w:color w:val="131413"/>
          <w:szCs w:val="24"/>
          <w:lang w:eastAsia="en-US"/>
        </w:rPr>
        <w:t xml:space="preserve"> f</w:t>
      </w:r>
      <w:r w:rsidR="001A3BE1" w:rsidRPr="00D02D14">
        <w:rPr>
          <w:rFonts w:ascii="Garamond" w:eastAsiaTheme="minorHAnsi" w:hAnsi="Garamond" w:cs="AdvTT3713a231"/>
          <w:color w:val="131413"/>
          <w:szCs w:val="24"/>
          <w:lang w:eastAsia="en-US"/>
        </w:rPr>
        <w:t>rom</w:t>
      </w:r>
      <w:r w:rsidR="001A3BE1">
        <w:rPr>
          <w:rFonts w:ascii="Garamond" w:eastAsiaTheme="minorHAnsi" w:hAnsi="Garamond" w:cs="AdvTT3713a231"/>
          <w:color w:val="131413"/>
          <w:szCs w:val="24"/>
          <w:lang w:eastAsia="en-US"/>
        </w:rPr>
        <w:t xml:space="preserve"> </w:t>
      </w:r>
      <w:r w:rsidR="001A3BE1" w:rsidRPr="00D02D14">
        <w:rPr>
          <w:rFonts w:ascii="Garamond" w:eastAsiaTheme="minorHAnsi" w:hAnsi="Garamond" w:cs="AdvTT3713a231"/>
          <w:color w:val="131413"/>
          <w:szCs w:val="24"/>
          <w:lang w:eastAsia="en-US"/>
        </w:rPr>
        <w:t>1 January 1995</w:t>
      </w:r>
      <w:r w:rsidR="001A3BE1">
        <w:rPr>
          <w:rFonts w:ascii="Garamond" w:eastAsiaTheme="minorHAnsi" w:hAnsi="Garamond" w:cs="AdvTT3713a231"/>
          <w:color w:val="131413"/>
          <w:szCs w:val="24"/>
          <w:lang w:eastAsia="en-US"/>
        </w:rPr>
        <w:t xml:space="preserve"> and</w:t>
      </w:r>
      <w:r w:rsidR="001A3BE1" w:rsidRPr="00D02D14">
        <w:rPr>
          <w:rFonts w:ascii="Garamond" w:eastAsiaTheme="minorHAnsi" w:hAnsi="Garamond" w:cs="AdvTT3713a231"/>
          <w:color w:val="131413"/>
          <w:szCs w:val="24"/>
          <w:lang w:eastAsia="en-US"/>
        </w:rPr>
        <w:t xml:space="preserve"> onward</w:t>
      </w:r>
      <w:r w:rsidR="001A3BE1">
        <w:rPr>
          <w:rFonts w:ascii="Garamond" w:eastAsiaTheme="minorHAnsi" w:hAnsi="Garamond" w:cs="AdvTT3713a231"/>
          <w:color w:val="131413"/>
          <w:szCs w:val="24"/>
          <w:lang w:eastAsia="en-US"/>
        </w:rPr>
        <w:t>s</w:t>
      </w:r>
      <w:r w:rsidR="00E171D5">
        <w:rPr>
          <w:rFonts w:ascii="Garamond" w:eastAsiaTheme="minorHAnsi" w:hAnsi="Garamond" w:cs="AdvTT3713a231"/>
          <w:color w:val="131413"/>
          <w:szCs w:val="24"/>
          <w:lang w:eastAsia="en-US"/>
        </w:rPr>
        <w:t xml:space="preserve">, </w:t>
      </w:r>
      <w:r w:rsidR="00E171D5" w:rsidRPr="00E171D5">
        <w:rPr>
          <w:rFonts w:ascii="Garamond" w:eastAsiaTheme="minorHAnsi" w:hAnsi="Garamond" w:cs="AdvTT3713a231"/>
          <w:color w:val="131413"/>
          <w:szCs w:val="24"/>
          <w:lang w:eastAsia="en-US"/>
        </w:rPr>
        <w:t>on all prescriptions</w:t>
      </w:r>
      <w:r w:rsidR="00E171D5">
        <w:rPr>
          <w:rFonts w:ascii="Garamond" w:eastAsiaTheme="minorHAnsi" w:hAnsi="Garamond" w:cs="AdvTT3713a231"/>
          <w:color w:val="131413"/>
          <w:szCs w:val="24"/>
          <w:lang w:eastAsia="en-US"/>
        </w:rPr>
        <w:t xml:space="preserve"> filled by </w:t>
      </w:r>
      <w:r w:rsidR="00E171D5" w:rsidRPr="00E171D5">
        <w:rPr>
          <w:rFonts w:ascii="Garamond" w:eastAsiaTheme="minorHAnsi" w:hAnsi="Garamond" w:cs="AdvTT3713a231"/>
          <w:color w:val="131413"/>
          <w:szCs w:val="24"/>
          <w:lang w:eastAsia="en-US"/>
        </w:rPr>
        <w:t>Danish residents at outpatient</w:t>
      </w:r>
      <w:r w:rsidR="00E171D5">
        <w:rPr>
          <w:rFonts w:ascii="Garamond" w:eastAsiaTheme="minorHAnsi" w:hAnsi="Garamond" w:cs="AdvTT3713a231"/>
          <w:color w:val="131413"/>
          <w:szCs w:val="24"/>
          <w:lang w:eastAsia="en-US"/>
        </w:rPr>
        <w:t xml:space="preserve"> </w:t>
      </w:r>
      <w:r w:rsidR="001A3BE1" w:rsidRPr="00D02D14">
        <w:rPr>
          <w:rFonts w:ascii="Garamond" w:eastAsiaTheme="minorHAnsi" w:hAnsi="Garamond" w:cs="AdvTT3713a231"/>
          <w:color w:val="131413"/>
          <w:szCs w:val="24"/>
          <w:lang w:eastAsia="en-US"/>
        </w:rPr>
        <w:t>pharmacies</w:t>
      </w:r>
      <w:r w:rsidR="001A3BE1">
        <w:rPr>
          <w:rFonts w:ascii="Garamond" w:eastAsiaTheme="minorHAnsi" w:hAnsi="Garamond" w:cs="AdvTT3713a231"/>
          <w:color w:val="131413"/>
          <w:szCs w:val="24"/>
          <w:lang w:eastAsia="en-US"/>
        </w:rPr>
        <w:t>.</w:t>
      </w:r>
      <w:r w:rsidRPr="00D02D14">
        <w:rPr>
          <w:rFonts w:ascii="Garamond" w:eastAsiaTheme="minorHAnsi" w:hAnsi="Garamond" w:cs="AdvTT3713a231"/>
          <w:color w:val="131413"/>
          <w:szCs w:val="24"/>
          <w:lang w:eastAsia="en-US"/>
        </w:rPr>
        <w:t xml:space="preserve"> For each </w:t>
      </w:r>
      <w:r w:rsidR="00E171D5">
        <w:rPr>
          <w:rFonts w:ascii="Garamond" w:eastAsiaTheme="minorHAnsi" w:hAnsi="Garamond" w:cs="AdvTT3713a231"/>
          <w:color w:val="131413"/>
          <w:szCs w:val="24"/>
          <w:lang w:eastAsia="en-US"/>
        </w:rPr>
        <w:t>filled prescription</w:t>
      </w:r>
      <w:r w:rsidRPr="00D02D14">
        <w:rPr>
          <w:rFonts w:ascii="Garamond" w:eastAsiaTheme="minorHAnsi" w:hAnsi="Garamond" w:cs="AdvTT3713a231"/>
          <w:color w:val="131413"/>
          <w:szCs w:val="24"/>
          <w:lang w:eastAsia="en-US"/>
        </w:rPr>
        <w:t>, the</w:t>
      </w:r>
      <w:r>
        <w:rPr>
          <w:rFonts w:ascii="Garamond" w:eastAsiaTheme="minorHAnsi" w:hAnsi="Garamond" w:cs="AdvTT3713a231"/>
          <w:color w:val="131413"/>
          <w:szCs w:val="24"/>
          <w:lang w:eastAsia="en-US"/>
        </w:rPr>
        <w:t xml:space="preserve"> </w:t>
      </w:r>
      <w:r w:rsidR="00E171D5">
        <w:rPr>
          <w:rFonts w:ascii="Garamond" w:eastAsiaTheme="minorHAnsi" w:hAnsi="Garamond" w:cs="AdvTT3713a231"/>
          <w:color w:val="131413"/>
          <w:szCs w:val="24"/>
          <w:lang w:eastAsia="en-US"/>
        </w:rPr>
        <w:t xml:space="preserve">registry </w:t>
      </w:r>
      <w:r w:rsidRPr="00D02D14">
        <w:rPr>
          <w:rFonts w:ascii="Garamond" w:eastAsiaTheme="minorHAnsi" w:hAnsi="Garamond" w:cs="AdvTT3713a231"/>
          <w:color w:val="131413"/>
          <w:szCs w:val="24"/>
          <w:lang w:eastAsia="en-US"/>
        </w:rPr>
        <w:t>contains information on the following variables releva</w:t>
      </w:r>
      <w:r w:rsidR="007653FE">
        <w:rPr>
          <w:rFonts w:ascii="Garamond" w:eastAsiaTheme="minorHAnsi" w:hAnsi="Garamond" w:cs="AdvTT3713a231"/>
          <w:color w:val="131413"/>
          <w:szCs w:val="24"/>
          <w:lang w:eastAsia="en-US"/>
        </w:rPr>
        <w:t>nt for this study: drug type, quantity, strength</w:t>
      </w:r>
      <w:r w:rsidR="00D717A3">
        <w:rPr>
          <w:rFonts w:ascii="Garamond" w:eastAsiaTheme="minorHAnsi" w:hAnsi="Garamond" w:cs="AdvTT3713a231"/>
          <w:color w:val="131413"/>
          <w:szCs w:val="24"/>
          <w:lang w:eastAsia="en-US"/>
        </w:rPr>
        <w:t xml:space="preserve">, </w:t>
      </w:r>
      <w:r w:rsidR="006459F4" w:rsidRPr="00D02D14">
        <w:rPr>
          <w:rFonts w:ascii="Garamond" w:eastAsiaTheme="minorHAnsi" w:hAnsi="Garamond" w:cs="AdvTT3713a231"/>
          <w:color w:val="131413"/>
          <w:szCs w:val="24"/>
          <w:lang w:eastAsia="en-US"/>
        </w:rPr>
        <w:t>date of purchase</w:t>
      </w:r>
      <w:r w:rsidR="006459F4">
        <w:rPr>
          <w:rFonts w:ascii="Garamond" w:eastAsiaTheme="minorHAnsi" w:hAnsi="Garamond" w:cs="AdvTT3713a231"/>
          <w:color w:val="131413"/>
          <w:szCs w:val="24"/>
          <w:lang w:eastAsia="en-US"/>
        </w:rPr>
        <w:t>,</w:t>
      </w:r>
      <w:r w:rsidR="006459F4" w:rsidRPr="00D02D14">
        <w:rPr>
          <w:rFonts w:ascii="Garamond" w:eastAsiaTheme="minorHAnsi" w:hAnsi="Garamond" w:cs="AdvTT3713a231"/>
          <w:color w:val="131413"/>
          <w:szCs w:val="24"/>
          <w:lang w:eastAsia="en-US"/>
        </w:rPr>
        <w:t xml:space="preserve"> </w:t>
      </w:r>
      <w:r w:rsidRPr="00D02D14">
        <w:rPr>
          <w:rFonts w:ascii="Garamond" w:eastAsiaTheme="minorHAnsi" w:hAnsi="Garamond" w:cs="AdvTT3713a231"/>
          <w:color w:val="131413"/>
          <w:szCs w:val="24"/>
          <w:lang w:eastAsia="en-US"/>
        </w:rPr>
        <w:t>person age</w:t>
      </w:r>
      <w:r w:rsidR="006459F4">
        <w:rPr>
          <w:rFonts w:ascii="Garamond" w:eastAsiaTheme="minorHAnsi" w:hAnsi="Garamond" w:cs="AdvTT3713a231"/>
          <w:color w:val="131413"/>
          <w:szCs w:val="24"/>
          <w:lang w:eastAsia="en-US"/>
        </w:rPr>
        <w:t xml:space="preserve">, </w:t>
      </w:r>
      <w:r w:rsidRPr="00D02D14">
        <w:rPr>
          <w:rFonts w:ascii="Garamond" w:eastAsiaTheme="minorHAnsi" w:hAnsi="Garamond" w:cs="AdvTT3713a231"/>
          <w:color w:val="131413"/>
          <w:szCs w:val="24"/>
          <w:lang w:eastAsia="en-US"/>
        </w:rPr>
        <w:t>gender</w:t>
      </w:r>
      <w:r w:rsidR="006459F4">
        <w:rPr>
          <w:rFonts w:ascii="Garamond" w:eastAsiaTheme="minorHAnsi" w:hAnsi="Garamond" w:cs="AdvTT3713a231"/>
          <w:color w:val="131413"/>
          <w:szCs w:val="24"/>
          <w:lang w:eastAsia="en-US"/>
        </w:rPr>
        <w:t xml:space="preserve"> and </w:t>
      </w:r>
      <w:r w:rsidRPr="00D02D14">
        <w:rPr>
          <w:rFonts w:ascii="Garamond" w:eastAsiaTheme="minorHAnsi" w:hAnsi="Garamond" w:cs="AdvTT3713a231"/>
          <w:color w:val="131413"/>
          <w:szCs w:val="24"/>
          <w:lang w:eastAsia="en-US"/>
        </w:rPr>
        <w:t xml:space="preserve">region of residence. </w:t>
      </w:r>
      <w:r w:rsidR="006459F4">
        <w:rPr>
          <w:rFonts w:ascii="Garamond" w:eastAsiaTheme="minorHAnsi" w:hAnsi="Garamond" w:cs="AdvTT3713a231"/>
          <w:color w:val="131413"/>
          <w:szCs w:val="24"/>
          <w:lang w:eastAsia="en-US"/>
        </w:rPr>
        <w:t>Registered d</w:t>
      </w:r>
      <w:r w:rsidRPr="00D02D14">
        <w:rPr>
          <w:rFonts w:ascii="Garamond" w:eastAsiaTheme="minorHAnsi" w:hAnsi="Garamond" w:cs="Garamond"/>
          <w:szCs w:val="24"/>
          <w:lang w:eastAsia="en-US"/>
        </w:rPr>
        <w:t xml:space="preserve">rugs are categorized according to the Anatomic Therapeutic Chemical (ATC) index, a hierarchical classification system developed by the World Health Organization (WHO) for purposes of drug use statistics </w:t>
      </w:r>
      <w:r w:rsidR="0061148D" w:rsidRPr="00D02D14">
        <w:rPr>
          <w:rFonts w:ascii="Garamond" w:eastAsiaTheme="minorHAnsi" w:hAnsi="Garamond" w:cs="Garamond"/>
          <w:szCs w:val="24"/>
          <w:lang w:eastAsia="en-US"/>
        </w:rPr>
        <w:fldChar w:fldCharType="begin"/>
      </w:r>
      <w:r w:rsidR="009816B2">
        <w:rPr>
          <w:rFonts w:ascii="Garamond" w:eastAsiaTheme="minorHAnsi" w:hAnsi="Garamond" w:cs="Garamond"/>
          <w:szCs w:val="24"/>
          <w:lang w:eastAsia="en-US"/>
        </w:rPr>
        <w:instrText xml:space="preserve"> ADDIN REFMGR.CITE &lt;Refman&gt;&lt;Cite&gt;&lt;Author&gt;WHO Collaborating Centre for Drug Statistics Methodology&lt;/Author&gt;&lt;Year&gt;2010&lt;/Year&gt;&lt;RecNum&gt;20&lt;/RecNum&gt;&lt;IDText&gt;Guidelines for ATC classification and DDD assignment 2011&lt;/IDText&gt;&lt;MDL Ref_Type="Book, Whole"&gt;&lt;Ref_Type&gt;Book, Whole&lt;/Ref_Type&gt;&lt;Ref_ID&gt;20&lt;/Ref_ID&gt;&lt;Title_Primary&gt;&lt;f name="TimesNewRoman"&gt;Guidelines for ATC classification and DDD assignment 2011&lt;/f&gt;&lt;/Title_Primary&gt;&lt;Authors_Primary&gt;WHO Collaborating Centre for Drug Statistics Methodology&lt;/Authors_Primary&gt;&lt;Date_Primary&gt;2010&lt;/Date_Primary&gt;&lt;Keywords&gt;classification&lt;/Keywords&gt;&lt;Reprint&gt;Not in File&lt;/Reprint&gt;&lt;Pub_Place&gt;Oslo&lt;/Pub_Place&gt;&lt;Publisher&gt;&lt;f name="Times New Roman"&gt;WHO Collaborating Centre for Drug Statistics Methodology&lt;/f&gt;&lt;/Publisher&gt;&lt;ZZ_WorkformID&gt;2&lt;/ZZ_WorkformID&gt;&lt;/MDL&gt;&lt;/Cite&gt;&lt;/Refman&gt;</w:instrText>
      </w:r>
      <w:r w:rsidR="0061148D" w:rsidRPr="00D02D14">
        <w:rPr>
          <w:rFonts w:ascii="Garamond" w:eastAsiaTheme="minorHAnsi" w:hAnsi="Garamond" w:cs="Garamond"/>
          <w:szCs w:val="24"/>
          <w:lang w:eastAsia="en-US"/>
        </w:rPr>
        <w:fldChar w:fldCharType="separate"/>
      </w:r>
      <w:r w:rsidR="00791FCE">
        <w:rPr>
          <w:rFonts w:ascii="Garamond" w:eastAsiaTheme="minorHAnsi" w:hAnsi="Garamond" w:cs="Garamond"/>
          <w:noProof/>
          <w:szCs w:val="24"/>
          <w:lang w:eastAsia="en-US"/>
        </w:rPr>
        <w:t>(12)</w:t>
      </w:r>
      <w:r w:rsidR="0061148D" w:rsidRPr="00D02D14">
        <w:rPr>
          <w:rFonts w:ascii="Garamond" w:eastAsiaTheme="minorHAnsi" w:hAnsi="Garamond" w:cs="Garamond"/>
          <w:szCs w:val="24"/>
          <w:lang w:eastAsia="en-US"/>
        </w:rPr>
        <w:fldChar w:fldCharType="end"/>
      </w:r>
      <w:r w:rsidRPr="00D02D14">
        <w:rPr>
          <w:rFonts w:ascii="Garamond" w:eastAsiaTheme="minorHAnsi" w:hAnsi="Garamond" w:cs="Garamond"/>
          <w:szCs w:val="24"/>
          <w:lang w:eastAsia="en-US"/>
        </w:rPr>
        <w:t xml:space="preserve">, and the quantity dispensed for each prescription is expressed by the defined daily dose (DDD) measure, also </w:t>
      </w:r>
      <w:r w:rsidRPr="00D02D14">
        <w:rPr>
          <w:rFonts w:ascii="Garamond" w:eastAsiaTheme="minorHAnsi" w:hAnsi="Garamond" w:cs="Garamond"/>
          <w:szCs w:val="24"/>
          <w:lang w:eastAsia="en-US"/>
        </w:rPr>
        <w:lastRenderedPageBreak/>
        <w:t xml:space="preserve">developed by the WHO </w:t>
      </w:r>
      <w:r w:rsidR="0061148D" w:rsidRPr="00D02D14">
        <w:rPr>
          <w:rFonts w:ascii="Garamond" w:eastAsiaTheme="minorHAnsi" w:hAnsi="Garamond" w:cs="Garamond"/>
          <w:szCs w:val="24"/>
          <w:lang w:eastAsia="en-US"/>
        </w:rPr>
        <w:fldChar w:fldCharType="begin"/>
      </w:r>
      <w:r w:rsidR="009816B2">
        <w:rPr>
          <w:rFonts w:ascii="Garamond" w:eastAsiaTheme="minorHAnsi" w:hAnsi="Garamond" w:cs="Garamond"/>
          <w:szCs w:val="24"/>
          <w:lang w:eastAsia="en-US"/>
        </w:rPr>
        <w:instrText xml:space="preserve"> ADDIN REFMGR.CITE &lt;Refman&gt;&lt;Cite&gt;&lt;Author&gt;WHO Collaborating Centre for Drug Statistics Methodology&lt;/Author&gt;&lt;Year&gt;2010&lt;/Year&gt;&lt;RecNum&gt;20&lt;/RecNum&gt;&lt;IDText&gt;Guidelines for ATC classification and DDD assignment 2011&lt;/IDText&gt;&lt;MDL Ref_Type="Book, Whole"&gt;&lt;Ref_Type&gt;Book, Whole&lt;/Ref_Type&gt;&lt;Ref_ID&gt;20&lt;/Ref_ID&gt;&lt;Title_Primary&gt;&lt;f name="TimesNewRoman"&gt;Guidelines for ATC classification and DDD assignment 2011&lt;/f&gt;&lt;/Title_Primary&gt;&lt;Authors_Primary&gt;WHO Collaborating Centre for Drug Statistics Methodology&lt;/Authors_Primary&gt;&lt;Date_Primary&gt;2010&lt;/Date_Primary&gt;&lt;Keywords&gt;classification&lt;/Keywords&gt;&lt;Reprint&gt;Not in File&lt;/Reprint&gt;&lt;Pub_Place&gt;Oslo&lt;/Pub_Place&gt;&lt;Publisher&gt;&lt;f name="Times New Roman"&gt;WHO Collaborating Centre for Drug Statistics Methodology&lt;/f&gt;&lt;/Publisher&gt;&lt;ZZ_WorkformID&gt;2&lt;/ZZ_WorkformID&gt;&lt;/MDL&gt;&lt;/Cite&gt;&lt;/Refman&gt;</w:instrText>
      </w:r>
      <w:r w:rsidR="0061148D" w:rsidRPr="00D02D14">
        <w:rPr>
          <w:rFonts w:ascii="Garamond" w:eastAsiaTheme="minorHAnsi" w:hAnsi="Garamond" w:cs="Garamond"/>
          <w:szCs w:val="24"/>
          <w:lang w:eastAsia="en-US"/>
        </w:rPr>
        <w:fldChar w:fldCharType="separate"/>
      </w:r>
      <w:r w:rsidR="00791FCE">
        <w:rPr>
          <w:rFonts w:ascii="Garamond" w:eastAsiaTheme="minorHAnsi" w:hAnsi="Garamond" w:cs="Garamond"/>
          <w:noProof/>
          <w:szCs w:val="24"/>
          <w:lang w:eastAsia="en-US"/>
        </w:rPr>
        <w:t>(12)</w:t>
      </w:r>
      <w:r w:rsidR="0061148D" w:rsidRPr="00D02D14">
        <w:rPr>
          <w:rFonts w:ascii="Garamond" w:eastAsiaTheme="minorHAnsi" w:hAnsi="Garamond" w:cs="Garamond"/>
          <w:szCs w:val="24"/>
          <w:lang w:eastAsia="en-US"/>
        </w:rPr>
        <w:fldChar w:fldCharType="end"/>
      </w:r>
      <w:r w:rsidRPr="00D02D14">
        <w:rPr>
          <w:rFonts w:ascii="Garamond" w:eastAsiaTheme="minorHAnsi" w:hAnsi="Garamond" w:cs="Garamond"/>
          <w:szCs w:val="24"/>
          <w:lang w:eastAsia="en-US"/>
        </w:rPr>
        <w:t>.</w:t>
      </w:r>
      <w:r>
        <w:rPr>
          <w:rFonts w:ascii="Garamond" w:eastAsiaTheme="minorHAnsi" w:hAnsi="Garamond" w:cs="Garamond"/>
          <w:szCs w:val="24"/>
          <w:lang w:eastAsia="en-US"/>
        </w:rPr>
        <w:t xml:space="preserve"> </w:t>
      </w:r>
      <w:r w:rsidRPr="00D02D14">
        <w:rPr>
          <w:rFonts w:ascii="Garamond" w:eastAsiaTheme="minorHAnsi" w:hAnsi="Garamond" w:cs="AdvTT3713a231"/>
          <w:color w:val="131413"/>
          <w:szCs w:val="24"/>
          <w:lang w:eastAsia="en-US"/>
        </w:rPr>
        <w:t xml:space="preserve">In addition, the </w:t>
      </w:r>
      <w:r w:rsidR="007653FE">
        <w:rPr>
          <w:rFonts w:ascii="Garamond" w:eastAsiaTheme="minorHAnsi" w:hAnsi="Garamond" w:cs="AdvTT3713a231"/>
          <w:color w:val="131413"/>
          <w:szCs w:val="24"/>
          <w:lang w:eastAsia="en-US"/>
        </w:rPr>
        <w:t xml:space="preserve">registry </w:t>
      </w:r>
      <w:r w:rsidRPr="00D02D14">
        <w:rPr>
          <w:rFonts w:ascii="Garamond" w:eastAsiaTheme="minorHAnsi" w:hAnsi="Garamond" w:cs="AdvTT3713a231"/>
          <w:color w:val="131413"/>
          <w:szCs w:val="24"/>
          <w:lang w:eastAsia="en-US"/>
        </w:rPr>
        <w:t xml:space="preserve">contains several other variables not used in this study. As described elsewhere, the </w:t>
      </w:r>
      <w:r w:rsidR="006459F4">
        <w:rPr>
          <w:rFonts w:ascii="Garamond" w:eastAsiaTheme="minorHAnsi" w:hAnsi="Garamond" w:cs="AdvTT3713a231"/>
          <w:color w:val="131413"/>
          <w:szCs w:val="24"/>
          <w:lang w:eastAsia="en-US"/>
        </w:rPr>
        <w:t>r</w:t>
      </w:r>
      <w:r w:rsidRPr="00D02D14">
        <w:rPr>
          <w:rFonts w:ascii="Garamond" w:eastAsiaTheme="minorHAnsi" w:hAnsi="Garamond" w:cs="AdvTT3713a231"/>
          <w:color w:val="131413"/>
          <w:szCs w:val="24"/>
          <w:lang w:eastAsia="en-US"/>
        </w:rPr>
        <w:t xml:space="preserve">egistry is </w:t>
      </w:r>
      <w:r w:rsidR="00E61A85">
        <w:rPr>
          <w:rFonts w:ascii="Garamond" w:eastAsiaTheme="minorHAnsi" w:hAnsi="Garamond" w:cs="AdvTT3713a231"/>
          <w:color w:val="131413"/>
          <w:szCs w:val="24"/>
          <w:lang w:eastAsia="en-US"/>
        </w:rPr>
        <w:t xml:space="preserve">reported </w:t>
      </w:r>
      <w:r w:rsidRPr="00D02D14">
        <w:rPr>
          <w:rFonts w:ascii="Garamond" w:eastAsiaTheme="minorHAnsi" w:hAnsi="Garamond" w:cs="AdvTT3713a231"/>
          <w:color w:val="131413"/>
          <w:szCs w:val="24"/>
          <w:lang w:eastAsia="en-US"/>
        </w:rPr>
        <w:t xml:space="preserve">to have a high completeness and validity </w:t>
      </w:r>
      <w:r w:rsidR="0061148D" w:rsidRPr="00D02D14">
        <w:rPr>
          <w:rFonts w:ascii="Garamond" w:eastAsiaTheme="minorHAnsi" w:hAnsi="Garamond" w:cs="Garamond"/>
          <w:szCs w:val="24"/>
          <w:lang w:eastAsia="en-US"/>
        </w:rPr>
        <w:fldChar w:fldCharType="begin"/>
      </w:r>
      <w:r w:rsidR="009816B2">
        <w:rPr>
          <w:rFonts w:ascii="Garamond" w:eastAsiaTheme="minorHAnsi" w:hAnsi="Garamond" w:cs="Garamond"/>
          <w:szCs w:val="24"/>
          <w:lang w:eastAsia="en-US"/>
        </w:rPr>
        <w:instrText xml:space="preserve"> ADDIN REFMGR.CITE &lt;Refman&gt;&lt;Cite&gt;&lt;Author&gt;Kildemoes&lt;/Author&gt;&lt;Year&gt;2011&lt;/Year&gt;&lt;RecNum&gt;19&lt;/RecNum&gt;&lt;IDText&gt;The Danish National Prescription Registry&lt;/IDText&gt;&lt;MDL Ref_Type="Journal"&gt;&lt;Ref_Type&gt;Journal&lt;/Ref_Type&gt;&lt;Ref_ID&gt;19&lt;/Ref_ID&gt;&lt;Title_Primary&gt;The Danish National Prescription Registry&lt;/Title_Primary&gt;&lt;Authors_Primary&gt;Kildemoes,H.W.&lt;/Authors_Primary&gt;&lt;Authors_Primary&gt;Sorensen,H.T.&lt;/Authors_Primary&gt;&lt;Authors_Primary&gt;Hallas,J.&lt;/Authors_Primary&gt;&lt;Date_Primary&gt;2011/7&lt;/Date_Primary&gt;&lt;Keywords&gt;Denmark&lt;/Keywords&gt;&lt;Keywords&gt;Drug Prescriptions&lt;/Keywords&gt;&lt;Keywords&gt;Humans&lt;/Keywords&gt;&lt;Keywords&gt;Pharmacoepidemiology&lt;/Keywords&gt;&lt;Keywords&gt;Registries&lt;/Keywords&gt;&lt;Keywords&gt;Research&lt;/Keywords&gt;&lt;Keywords&gt;standards&lt;/Keywords&gt;&lt;Keywords&gt;statistics &amp;amp; numerical data&lt;/Keywords&gt;&lt;Reprint&gt;Not in File&lt;/Reprint&gt;&lt;Start_Page&gt;38&lt;/Start_Page&gt;&lt;End_Page&gt;41&lt;/End_Page&gt;&lt;Periodical&gt;Scand.J Public Health&lt;/Periodical&gt;&lt;Volume&gt;39&lt;/Volume&gt;&lt;Issue&gt;7 Suppl&lt;/Issue&gt;&lt;Misc_3&gt;39/7_suppl/38 [pii];10.1177/1403494810394717 [doi]&lt;/Misc_3&gt;&lt;Address&gt;Center for Healthy Ageing, Department of Public Health, University of Copenhagen, Denmark. hewk@sund.ku.dk&lt;/Address&gt;&lt;Web_URL&gt;PM:21775349&lt;/Web_URL&gt;&lt;ZZ_JournalFull&gt;&lt;f name="System"&gt;Scand.J Public Health&lt;/f&gt;&lt;/ZZ_JournalFull&gt;&lt;ZZ_WorkformID&gt;1&lt;/ZZ_WorkformID&gt;&lt;/MDL&gt;&lt;/Cite&gt;&lt;/Refman&gt;</w:instrText>
      </w:r>
      <w:r w:rsidR="0061148D" w:rsidRPr="00D02D14">
        <w:rPr>
          <w:rFonts w:ascii="Garamond" w:eastAsiaTheme="minorHAnsi" w:hAnsi="Garamond" w:cs="Garamond"/>
          <w:szCs w:val="24"/>
          <w:lang w:eastAsia="en-US"/>
        </w:rPr>
        <w:fldChar w:fldCharType="separate"/>
      </w:r>
      <w:r w:rsidR="00791FCE">
        <w:rPr>
          <w:rFonts w:ascii="Garamond" w:eastAsiaTheme="minorHAnsi" w:hAnsi="Garamond" w:cs="Garamond"/>
          <w:noProof/>
          <w:szCs w:val="24"/>
          <w:lang w:eastAsia="en-US"/>
        </w:rPr>
        <w:t>(11)</w:t>
      </w:r>
      <w:r w:rsidR="0061148D" w:rsidRPr="00D02D14">
        <w:rPr>
          <w:rFonts w:ascii="Garamond" w:eastAsiaTheme="minorHAnsi" w:hAnsi="Garamond" w:cs="Garamond"/>
          <w:szCs w:val="24"/>
          <w:lang w:eastAsia="en-US"/>
        </w:rPr>
        <w:fldChar w:fldCharType="end"/>
      </w:r>
      <w:r w:rsidRPr="00D02D14">
        <w:rPr>
          <w:rFonts w:ascii="Garamond" w:eastAsiaTheme="minorHAnsi" w:hAnsi="Garamond" w:cs="AdvTT3713a231"/>
          <w:color w:val="131413"/>
          <w:szCs w:val="24"/>
          <w:lang w:eastAsia="en-US"/>
        </w:rPr>
        <w:t xml:space="preserve">. </w:t>
      </w:r>
    </w:p>
    <w:p w:rsidR="002F79AB" w:rsidRDefault="00075EBE" w:rsidP="004462BD">
      <w:pPr>
        <w:autoSpaceDE w:val="0"/>
        <w:autoSpaceDN w:val="0"/>
        <w:adjustRightInd w:val="0"/>
        <w:spacing w:line="360" w:lineRule="auto"/>
        <w:jc w:val="both"/>
        <w:rPr>
          <w:rFonts w:ascii="Garamond" w:eastAsiaTheme="minorHAnsi" w:hAnsi="Garamond" w:cs="Garamond"/>
          <w:szCs w:val="24"/>
          <w:lang w:eastAsia="en-US"/>
        </w:rPr>
      </w:pPr>
      <w:r>
        <w:rPr>
          <w:rFonts w:ascii="Garamond" w:eastAsiaTheme="minorHAnsi" w:hAnsi="Garamond" w:cs="AdvTT3713a231"/>
          <w:color w:val="131413"/>
          <w:szCs w:val="24"/>
          <w:lang w:eastAsia="en-US"/>
        </w:rPr>
        <w:t>Population statistics</w:t>
      </w:r>
      <w:r w:rsidR="00D02D14" w:rsidRPr="00D02D14">
        <w:rPr>
          <w:rFonts w:ascii="Garamond" w:eastAsiaTheme="minorHAnsi" w:hAnsi="Garamond" w:cs="AdvTT3713a231"/>
          <w:color w:val="131413"/>
          <w:szCs w:val="24"/>
          <w:lang w:eastAsia="en-US"/>
        </w:rPr>
        <w:t xml:space="preserve"> were</w:t>
      </w:r>
      <w:r w:rsidR="00D02D14">
        <w:rPr>
          <w:rFonts w:ascii="Garamond" w:eastAsiaTheme="minorHAnsi" w:hAnsi="Garamond" w:cs="AdvTT3713a231"/>
          <w:color w:val="131413"/>
          <w:szCs w:val="24"/>
          <w:lang w:eastAsia="en-US"/>
        </w:rPr>
        <w:t xml:space="preserve"> </w:t>
      </w:r>
      <w:r>
        <w:rPr>
          <w:rFonts w:ascii="Garamond" w:eastAsiaTheme="minorHAnsi" w:hAnsi="Garamond" w:cs="AdvTT3713a231"/>
          <w:color w:val="131413"/>
          <w:szCs w:val="24"/>
          <w:lang w:eastAsia="en-US"/>
        </w:rPr>
        <w:t>obtained from</w:t>
      </w:r>
      <w:r w:rsidR="00D02D14">
        <w:rPr>
          <w:rFonts w:ascii="Garamond" w:eastAsiaTheme="minorHAnsi" w:hAnsi="Garamond" w:cs="AdvTT3713a231"/>
          <w:color w:val="131413"/>
          <w:szCs w:val="24"/>
          <w:lang w:eastAsia="en-US"/>
        </w:rPr>
        <w:t xml:space="preserve"> Statistics Denmark</w:t>
      </w:r>
      <w:r w:rsidR="00D02D14">
        <w:rPr>
          <w:rFonts w:ascii="Garamond" w:eastAsiaTheme="minorHAnsi" w:hAnsi="Garamond" w:cs="Garamond"/>
          <w:szCs w:val="24"/>
          <w:lang w:eastAsia="en-US"/>
        </w:rPr>
        <w:t>,</w:t>
      </w:r>
      <w:r w:rsidR="004462BD" w:rsidRPr="004462BD">
        <w:rPr>
          <w:rFonts w:ascii="Garamond" w:eastAsiaTheme="minorHAnsi" w:hAnsi="Garamond" w:cs="Garamond"/>
          <w:szCs w:val="24"/>
          <w:lang w:eastAsia="en-US"/>
        </w:rPr>
        <w:t xml:space="preserve"> </w:t>
      </w:r>
      <w:r w:rsidR="002F79AB" w:rsidRPr="002F79AB">
        <w:rPr>
          <w:rFonts w:ascii="Garamond" w:eastAsiaTheme="minorHAnsi" w:hAnsi="Garamond" w:cs="Garamond"/>
          <w:szCs w:val="24"/>
          <w:lang w:eastAsia="en-US"/>
        </w:rPr>
        <w:t>a governmental institution that collects and maintains electronic</w:t>
      </w:r>
      <w:r w:rsidR="002F79AB">
        <w:rPr>
          <w:rFonts w:ascii="Garamond" w:eastAsiaTheme="minorHAnsi" w:hAnsi="Garamond" w:cs="Garamond"/>
          <w:szCs w:val="24"/>
          <w:lang w:eastAsia="en-US"/>
        </w:rPr>
        <w:t xml:space="preserve"> </w:t>
      </w:r>
      <w:r w:rsidR="002F79AB" w:rsidRPr="002F79AB">
        <w:rPr>
          <w:rFonts w:ascii="Garamond" w:eastAsiaTheme="minorHAnsi" w:hAnsi="Garamond" w:cs="Garamond"/>
          <w:szCs w:val="24"/>
          <w:lang w:eastAsia="en-US"/>
        </w:rPr>
        <w:t>records for a broad spectrum of stat</w:t>
      </w:r>
      <w:r w:rsidR="008508B6">
        <w:rPr>
          <w:rFonts w:ascii="Garamond" w:eastAsiaTheme="minorHAnsi" w:hAnsi="Garamond" w:cs="Garamond"/>
          <w:szCs w:val="24"/>
          <w:lang w:eastAsia="en-US"/>
        </w:rPr>
        <w:t>istical and scientific purposes</w:t>
      </w:r>
      <w:r w:rsidR="00D02D14">
        <w:rPr>
          <w:rFonts w:ascii="Garamond" w:eastAsiaTheme="minorHAnsi" w:hAnsi="Garamond" w:cs="Garamond"/>
          <w:szCs w:val="24"/>
          <w:lang w:eastAsia="en-US"/>
        </w:rPr>
        <w:t xml:space="preserve"> </w:t>
      </w:r>
      <w:r w:rsidR="0061148D">
        <w:rPr>
          <w:rFonts w:ascii="Garamond" w:eastAsiaTheme="minorHAnsi" w:hAnsi="Garamond" w:cs="Garamond"/>
          <w:szCs w:val="24"/>
          <w:lang w:eastAsia="en-US"/>
        </w:rPr>
        <w:fldChar w:fldCharType="begin"/>
      </w:r>
      <w:r w:rsidR="009816B2">
        <w:rPr>
          <w:rFonts w:ascii="Garamond" w:eastAsiaTheme="minorHAnsi" w:hAnsi="Garamond" w:cs="Garamond"/>
          <w:szCs w:val="24"/>
          <w:lang w:eastAsia="en-US"/>
        </w:rPr>
        <w:instrText xml:space="preserve"> ADDIN REFMGR.CITE &lt;Refman&gt;&lt;Cite&gt;&lt;Author&gt;Pedersen&lt;/Author&gt;&lt;Year&gt;2011&lt;/Year&gt;&lt;RecNum&gt;21&lt;/RecNum&gt;&lt;IDText&gt;The Danish Civil Registration System&lt;/IDText&gt;&lt;MDL Ref_Type="Journal"&gt;&lt;Ref_Type&gt;Journal&lt;/Ref_Type&gt;&lt;Ref_ID&gt;21&lt;/Ref_ID&gt;&lt;Title_Primary&gt;The Danish Civil Registration System&lt;/Title_Primary&gt;&lt;Authors_Primary&gt;Pedersen,C.B.&lt;/Authors_Primary&gt;&lt;Date_Primary&gt;2011/7&lt;/Date_Primary&gt;&lt;Keywords&gt;Demography&lt;/Keywords&gt;&lt;Keywords&gt;Denmark&lt;/Keywords&gt;&lt;Keywords&gt;Emigrants and Immigrants&lt;/Keywords&gt;&lt;Keywords&gt;epidemiology&lt;/Keywords&gt;&lt;Keywords&gt;ethnology&lt;/Keywords&gt;&lt;Keywords&gt;Female&lt;/Keywords&gt;&lt;Keywords&gt;Humans&lt;/Keywords&gt;&lt;Keywords&gt;Male&lt;/Keywords&gt;&lt;Keywords&gt;Parents&lt;/Keywords&gt;&lt;Keywords&gt;Population Surveillance&lt;/Keywords&gt;&lt;Keywords&gt;Registries&lt;/Keywords&gt;&lt;Keywords&gt;Research&lt;/Keywords&gt;&lt;Keywords&gt;Vital Statistics&lt;/Keywords&gt;&lt;Reprint&gt;Not in File&lt;/Reprint&gt;&lt;Start_Page&gt;22&lt;/Start_Page&gt;&lt;End_Page&gt;25&lt;/End_Page&gt;&lt;Periodical&gt;Scand.J Public Health&lt;/Periodical&gt;&lt;Volume&gt;39&lt;/Volume&gt;&lt;Issue&gt;7 Suppl&lt;/Issue&gt;&lt;Misc_3&gt;39/7_suppl/22 [pii];10.1177/1403494810387965 [doi]&lt;/Misc_3&gt;&lt;Address&gt;National Centre for Register-based Research, University of Aarhus, Taasingegade, Aarhus C, Denmark. cbp@ncrr.dk&lt;/Address&gt;&lt;Web_URL&gt;PM:21775345&lt;/Web_URL&gt;&lt;ZZ_JournalFull&gt;&lt;f name="System"&gt;Scand.J Public Health&lt;/f&gt;&lt;/ZZ_JournalFull&gt;&lt;ZZ_WorkformID&gt;1&lt;/ZZ_WorkformID&gt;&lt;/MDL&gt;&lt;/Cite&gt;&lt;/Refman&gt;</w:instrText>
      </w:r>
      <w:r w:rsidR="0061148D">
        <w:rPr>
          <w:rFonts w:ascii="Garamond" w:eastAsiaTheme="minorHAnsi" w:hAnsi="Garamond" w:cs="Garamond"/>
          <w:szCs w:val="24"/>
          <w:lang w:eastAsia="en-US"/>
        </w:rPr>
        <w:fldChar w:fldCharType="separate"/>
      </w:r>
      <w:r w:rsidR="00791FCE">
        <w:rPr>
          <w:rFonts w:ascii="Garamond" w:eastAsiaTheme="minorHAnsi" w:hAnsi="Garamond" w:cs="Garamond"/>
          <w:noProof/>
          <w:szCs w:val="24"/>
          <w:lang w:eastAsia="en-US"/>
        </w:rPr>
        <w:t>(13)</w:t>
      </w:r>
      <w:r w:rsidR="0061148D">
        <w:rPr>
          <w:rFonts w:ascii="Garamond" w:eastAsiaTheme="minorHAnsi" w:hAnsi="Garamond" w:cs="Garamond"/>
          <w:szCs w:val="24"/>
          <w:lang w:eastAsia="en-US"/>
        </w:rPr>
        <w:fldChar w:fldCharType="end"/>
      </w:r>
      <w:r w:rsidR="002F79AB" w:rsidRPr="002F79AB">
        <w:rPr>
          <w:rFonts w:ascii="Garamond" w:eastAsiaTheme="minorHAnsi" w:hAnsi="Garamond" w:cs="Garamond"/>
          <w:szCs w:val="24"/>
          <w:lang w:eastAsia="en-US"/>
        </w:rPr>
        <w:t>.</w:t>
      </w:r>
    </w:p>
    <w:p w:rsidR="00CF4D68" w:rsidRDefault="00CF4D68" w:rsidP="004462BD">
      <w:pPr>
        <w:autoSpaceDE w:val="0"/>
        <w:autoSpaceDN w:val="0"/>
        <w:adjustRightInd w:val="0"/>
        <w:spacing w:line="360" w:lineRule="auto"/>
        <w:jc w:val="both"/>
        <w:rPr>
          <w:rFonts w:ascii="Garamond" w:eastAsiaTheme="minorHAnsi" w:hAnsi="Garamond" w:cs="Garamond"/>
          <w:szCs w:val="24"/>
          <w:lang w:eastAsia="en-US"/>
        </w:rPr>
      </w:pPr>
    </w:p>
    <w:p w:rsidR="00B16C4A" w:rsidRPr="005406AF" w:rsidRDefault="00B16C4A" w:rsidP="004462BD">
      <w:pPr>
        <w:autoSpaceDE w:val="0"/>
        <w:autoSpaceDN w:val="0"/>
        <w:adjustRightInd w:val="0"/>
        <w:spacing w:line="360" w:lineRule="auto"/>
        <w:jc w:val="both"/>
        <w:rPr>
          <w:rFonts w:ascii="Garamond" w:eastAsiaTheme="minorHAnsi" w:hAnsi="Garamond" w:cs="Garamond"/>
          <w:b/>
          <w:szCs w:val="24"/>
          <w:lang w:eastAsia="en-US"/>
        </w:rPr>
      </w:pPr>
      <w:r w:rsidRPr="005406AF">
        <w:rPr>
          <w:rFonts w:ascii="Garamond" w:eastAsiaTheme="minorHAnsi" w:hAnsi="Garamond" w:cs="Garamond"/>
          <w:b/>
          <w:szCs w:val="24"/>
          <w:lang w:eastAsia="en-US"/>
        </w:rPr>
        <w:t>Study drugs</w:t>
      </w:r>
    </w:p>
    <w:p w:rsidR="002F79AB" w:rsidRDefault="005406AF" w:rsidP="004462BD">
      <w:pPr>
        <w:autoSpaceDE w:val="0"/>
        <w:autoSpaceDN w:val="0"/>
        <w:adjustRightInd w:val="0"/>
        <w:spacing w:line="360" w:lineRule="auto"/>
        <w:jc w:val="both"/>
        <w:rPr>
          <w:rFonts w:ascii="Garamond" w:hAnsi="Garamond"/>
          <w:szCs w:val="24"/>
        </w:rPr>
      </w:pPr>
      <w:r>
        <w:rPr>
          <w:rFonts w:ascii="Garamond" w:hAnsi="Garamond"/>
          <w:szCs w:val="24"/>
        </w:rPr>
        <w:t xml:space="preserve">SSRIs as a group were defined as all drugs within ATC-group N06AB. ATC-groups and DDD-definitions are shown for each single drug </w:t>
      </w:r>
      <w:r w:rsidRPr="000A15F5">
        <w:rPr>
          <w:rFonts w:ascii="Garamond" w:hAnsi="Garamond"/>
          <w:szCs w:val="24"/>
        </w:rPr>
        <w:t>in table 1</w:t>
      </w:r>
      <w:r>
        <w:rPr>
          <w:rFonts w:ascii="Garamond" w:hAnsi="Garamond"/>
          <w:szCs w:val="24"/>
        </w:rPr>
        <w:t>.</w:t>
      </w:r>
    </w:p>
    <w:p w:rsidR="005406AF" w:rsidRDefault="005406AF" w:rsidP="004462BD">
      <w:pPr>
        <w:autoSpaceDE w:val="0"/>
        <w:autoSpaceDN w:val="0"/>
        <w:adjustRightInd w:val="0"/>
        <w:spacing w:line="360" w:lineRule="auto"/>
        <w:jc w:val="both"/>
        <w:rPr>
          <w:rFonts w:ascii="Garamond" w:hAnsi="Garamond"/>
          <w:b/>
          <w:szCs w:val="24"/>
        </w:rPr>
      </w:pPr>
    </w:p>
    <w:p w:rsidR="008815B7" w:rsidRDefault="008815B7" w:rsidP="008815B7">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both"/>
        <w:rPr>
          <w:rFonts w:ascii="Garamond" w:hAnsi="Garamond"/>
          <w:b/>
        </w:rPr>
      </w:pPr>
      <w:r>
        <w:rPr>
          <w:rFonts w:ascii="Garamond" w:hAnsi="Garamond"/>
          <w:b/>
        </w:rPr>
        <w:t xml:space="preserve">Analysis </w:t>
      </w:r>
    </w:p>
    <w:p w:rsidR="00C735AD" w:rsidRPr="00416FBB" w:rsidRDefault="008815B7" w:rsidP="00416FBB">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both"/>
        <w:rPr>
          <w:rFonts w:ascii="Garamond" w:hAnsi="Garamond"/>
          <w:szCs w:val="24"/>
        </w:rPr>
      </w:pPr>
      <w:r>
        <w:rPr>
          <w:rFonts w:ascii="Garamond" w:hAnsi="Garamond"/>
        </w:rPr>
        <w:t xml:space="preserve">To structure the description of the analysis and the presentation of the results, we divided the analysis into </w:t>
      </w:r>
      <w:r w:rsidR="00E27D0E">
        <w:rPr>
          <w:rFonts w:ascii="Garamond" w:hAnsi="Garamond"/>
        </w:rPr>
        <w:t>five</w:t>
      </w:r>
      <w:r>
        <w:rPr>
          <w:rFonts w:ascii="Garamond" w:hAnsi="Garamond"/>
        </w:rPr>
        <w:t xml:space="preserve"> </w:t>
      </w:r>
      <w:r w:rsidR="00D05A92">
        <w:rPr>
          <w:rFonts w:ascii="Garamond" w:hAnsi="Garamond"/>
        </w:rPr>
        <w:t xml:space="preserve">research </w:t>
      </w:r>
      <w:r>
        <w:rPr>
          <w:rFonts w:ascii="Garamond" w:hAnsi="Garamond"/>
        </w:rPr>
        <w:t>questions collectively describ</w:t>
      </w:r>
      <w:r w:rsidR="00D05A92">
        <w:rPr>
          <w:rFonts w:ascii="Garamond" w:hAnsi="Garamond"/>
        </w:rPr>
        <w:t>ing</w:t>
      </w:r>
      <w:r>
        <w:rPr>
          <w:rFonts w:ascii="Garamond" w:hAnsi="Garamond"/>
        </w:rPr>
        <w:t xml:space="preserve"> the use of </w:t>
      </w:r>
      <w:r w:rsidR="007C172C">
        <w:rPr>
          <w:rFonts w:ascii="Garamond" w:hAnsi="Garamond"/>
        </w:rPr>
        <w:t>SSRIs</w:t>
      </w:r>
      <w:r>
        <w:rPr>
          <w:rFonts w:ascii="Garamond" w:hAnsi="Garamond"/>
        </w:rPr>
        <w:t xml:space="preserve"> among children in Denmark</w:t>
      </w:r>
      <w:r w:rsidR="00416FBB" w:rsidRPr="000A15F5">
        <w:rPr>
          <w:rFonts w:ascii="Garamond" w:hAnsi="Garamond"/>
          <w:szCs w:val="24"/>
        </w:rPr>
        <w:t>.</w:t>
      </w:r>
      <w:r w:rsidR="00416FBB">
        <w:rPr>
          <w:rFonts w:ascii="Garamond" w:hAnsi="Garamond"/>
          <w:szCs w:val="24"/>
        </w:rPr>
        <w:t xml:space="preserve"> </w:t>
      </w:r>
      <w:r w:rsidR="007865FF">
        <w:rPr>
          <w:rFonts w:ascii="Garamond" w:hAnsi="Garamond"/>
          <w:szCs w:val="24"/>
        </w:rPr>
        <w:t>All analyses</w:t>
      </w:r>
      <w:r w:rsidR="00416FBB">
        <w:rPr>
          <w:rFonts w:ascii="Garamond" w:hAnsi="Garamond"/>
          <w:szCs w:val="24"/>
        </w:rPr>
        <w:t xml:space="preserve"> were performed stratified by age and gender. We used age</w:t>
      </w:r>
      <w:r w:rsidR="002644BB">
        <w:rPr>
          <w:rFonts w:ascii="Garamond" w:hAnsi="Garamond"/>
          <w:szCs w:val="24"/>
        </w:rPr>
        <w:t xml:space="preserve"> </w:t>
      </w:r>
      <w:r w:rsidR="00416FBB">
        <w:rPr>
          <w:rFonts w:ascii="Garamond" w:hAnsi="Garamond"/>
          <w:szCs w:val="24"/>
        </w:rPr>
        <w:t xml:space="preserve">categories as defined by </w:t>
      </w:r>
      <w:r w:rsidR="0009285A">
        <w:rPr>
          <w:rFonts w:ascii="Garamond" w:hAnsi="Garamond"/>
          <w:szCs w:val="24"/>
        </w:rPr>
        <w:t>EMA</w:t>
      </w:r>
      <w:r w:rsidR="00416FBB">
        <w:rPr>
          <w:rFonts w:ascii="Garamond" w:hAnsi="Garamond"/>
          <w:szCs w:val="24"/>
        </w:rPr>
        <w:t xml:space="preserve"> </w:t>
      </w:r>
      <w:r w:rsidR="00FA590B">
        <w:rPr>
          <w:rFonts w:ascii="Garamond" w:hAnsi="Garamond"/>
          <w:szCs w:val="24"/>
        </w:rPr>
        <w:fldChar w:fldCharType="begin"/>
      </w:r>
      <w:r w:rsidR="009816B2">
        <w:rPr>
          <w:rFonts w:ascii="Garamond" w:hAnsi="Garamond"/>
          <w:szCs w:val="24"/>
        </w:rPr>
        <w:instrText xml:space="preserve"> ADDIN REFMGR.CITE &lt;Refman&gt;&lt;Cite&gt;&lt;Author&gt;European Medicines Agency (EMA)&lt;/Author&gt;&lt;Year&gt;2001&lt;/Year&gt;&lt;RecNum&gt;305&lt;/RecNum&gt;&lt;IDText&gt;ICH Topic E 11 - Clinical Investigation of Medicinal Products in the Paediatric Population. Note for guidance on clinical investigation of medicinal products in the paediatric population (CPMP/ICH/2711/99)&lt;/IDText&gt;&lt;MDL Ref_Type="Report"&gt;&lt;Ref_Type&gt;Report&lt;/Ref_Type&gt;&lt;Ref_ID&gt;305&lt;/Ref_ID&gt;&lt;Title_Primary&gt;ICH Topic E 11 - Clinical Investigation of Medicinal Products in the Paediatric Population. Note for guidance on clinical investigation of medicinal products in the paediatric population (CPMP/ICH/2711/99)&lt;/Title_Primary&gt;&lt;Authors_Primary&gt;European Medicines Agency (EMA)&lt;/Authors_Primary&gt;&lt;Date_Primary&gt;2001&lt;/Date_Primary&gt;&lt;Reprint&gt;Not in File&lt;/Reprint&gt;&lt;ZZ_WorkformID&gt;24&lt;/ZZ_WorkformID&gt;&lt;/MDL&gt;&lt;/Cite&gt;&lt;/Refman&gt;</w:instrText>
      </w:r>
      <w:r w:rsidR="00FA590B">
        <w:rPr>
          <w:rFonts w:ascii="Garamond" w:hAnsi="Garamond"/>
          <w:szCs w:val="24"/>
        </w:rPr>
        <w:fldChar w:fldCharType="separate"/>
      </w:r>
      <w:r w:rsidR="00FA590B">
        <w:rPr>
          <w:rFonts w:ascii="Garamond" w:hAnsi="Garamond"/>
          <w:noProof/>
          <w:szCs w:val="24"/>
        </w:rPr>
        <w:t>(14)</w:t>
      </w:r>
      <w:r w:rsidR="00FA590B">
        <w:rPr>
          <w:rFonts w:ascii="Garamond" w:hAnsi="Garamond"/>
          <w:szCs w:val="24"/>
        </w:rPr>
        <w:fldChar w:fldCharType="end"/>
      </w:r>
      <w:r w:rsidR="00416FBB">
        <w:rPr>
          <w:rFonts w:ascii="Garamond" w:hAnsi="Garamond"/>
          <w:szCs w:val="24"/>
        </w:rPr>
        <w:t>, i.e. 5-1</w:t>
      </w:r>
      <w:r w:rsidR="0009285A">
        <w:rPr>
          <w:rFonts w:ascii="Garamond" w:hAnsi="Garamond"/>
          <w:szCs w:val="24"/>
        </w:rPr>
        <w:t>1</w:t>
      </w:r>
      <w:r w:rsidR="00416FBB">
        <w:rPr>
          <w:rFonts w:ascii="Garamond" w:hAnsi="Garamond"/>
          <w:szCs w:val="24"/>
        </w:rPr>
        <w:t xml:space="preserve"> years and 1</w:t>
      </w:r>
      <w:r w:rsidR="0009285A">
        <w:rPr>
          <w:rFonts w:ascii="Garamond" w:hAnsi="Garamond"/>
          <w:szCs w:val="24"/>
        </w:rPr>
        <w:t>2</w:t>
      </w:r>
      <w:r w:rsidR="00416FBB">
        <w:rPr>
          <w:rFonts w:ascii="Garamond" w:hAnsi="Garamond"/>
          <w:szCs w:val="24"/>
        </w:rPr>
        <w:t xml:space="preserve">-17 years. </w:t>
      </w:r>
    </w:p>
    <w:p w:rsidR="007D07A8" w:rsidRDefault="007D07A8" w:rsidP="007D07A8">
      <w:pPr>
        <w:autoSpaceDE w:val="0"/>
        <w:autoSpaceDN w:val="0"/>
        <w:adjustRightInd w:val="0"/>
        <w:spacing w:line="360" w:lineRule="auto"/>
        <w:jc w:val="both"/>
        <w:rPr>
          <w:rFonts w:ascii="Garamond" w:eastAsiaTheme="minorHAnsi" w:hAnsi="Garamond" w:cs="AdvTT3713a231"/>
          <w:i/>
          <w:color w:val="131413"/>
          <w:szCs w:val="24"/>
          <w:lang w:eastAsia="en-US"/>
        </w:rPr>
      </w:pPr>
    </w:p>
    <w:p w:rsidR="007D07A8" w:rsidRPr="003E05A4" w:rsidRDefault="007D07A8" w:rsidP="007D07A8">
      <w:pPr>
        <w:autoSpaceDE w:val="0"/>
        <w:autoSpaceDN w:val="0"/>
        <w:adjustRightInd w:val="0"/>
        <w:spacing w:line="360" w:lineRule="auto"/>
        <w:jc w:val="both"/>
        <w:rPr>
          <w:rFonts w:ascii="Garamond" w:eastAsiaTheme="minorHAnsi" w:hAnsi="Garamond" w:cs="AdvTT3713a231"/>
          <w:i/>
          <w:color w:val="131413"/>
          <w:szCs w:val="24"/>
          <w:lang w:eastAsia="en-US"/>
        </w:rPr>
      </w:pPr>
      <w:r w:rsidRPr="003E05A4">
        <w:rPr>
          <w:rFonts w:ascii="Garamond" w:eastAsiaTheme="minorHAnsi" w:hAnsi="Garamond" w:cs="AdvTT3713a231"/>
          <w:i/>
          <w:color w:val="131413"/>
          <w:szCs w:val="24"/>
          <w:lang w:eastAsia="en-US"/>
        </w:rPr>
        <w:t xml:space="preserve">Which SSRIs </w:t>
      </w:r>
      <w:r>
        <w:rPr>
          <w:rFonts w:ascii="Garamond" w:eastAsiaTheme="minorHAnsi" w:hAnsi="Garamond" w:cs="AdvTT3713a231"/>
          <w:i/>
          <w:color w:val="131413"/>
          <w:szCs w:val="24"/>
          <w:lang w:eastAsia="en-US"/>
        </w:rPr>
        <w:t>were</w:t>
      </w:r>
      <w:r w:rsidRPr="003E05A4">
        <w:rPr>
          <w:rFonts w:ascii="Garamond" w:eastAsiaTheme="minorHAnsi" w:hAnsi="Garamond" w:cs="AdvTT3713a231"/>
          <w:i/>
          <w:color w:val="131413"/>
          <w:szCs w:val="24"/>
          <w:lang w:eastAsia="en-US"/>
        </w:rPr>
        <w:t xml:space="preserve"> used and to what extent?</w:t>
      </w:r>
    </w:p>
    <w:p w:rsidR="007D07A8" w:rsidRPr="00D717A3" w:rsidRDefault="007D07A8" w:rsidP="007D07A8">
      <w:pPr>
        <w:autoSpaceDE w:val="0"/>
        <w:autoSpaceDN w:val="0"/>
        <w:adjustRightInd w:val="0"/>
        <w:spacing w:line="360" w:lineRule="auto"/>
        <w:jc w:val="both"/>
        <w:rPr>
          <w:rFonts w:ascii="Garamond" w:eastAsiaTheme="minorHAnsi" w:hAnsi="Garamond" w:cs="AdvTT3713a231"/>
          <w:color w:val="131413"/>
          <w:szCs w:val="24"/>
          <w:lang w:eastAsia="en-US"/>
        </w:rPr>
      </w:pPr>
      <w:r>
        <w:rPr>
          <w:rFonts w:ascii="Garamond" w:eastAsiaTheme="minorHAnsi" w:hAnsi="Garamond" w:cs="AdvTT3713a231"/>
          <w:color w:val="131413"/>
          <w:szCs w:val="24"/>
          <w:lang w:eastAsia="en-US"/>
        </w:rPr>
        <w:t>We calculated the amount and type of SSRI use in 2011, by</w:t>
      </w:r>
      <w:r w:rsidRPr="003E05A4">
        <w:rPr>
          <w:rFonts w:ascii="Garamond" w:eastAsiaTheme="minorHAnsi" w:hAnsi="Garamond" w:cs="AdvTT3713a231"/>
          <w:color w:val="131413"/>
          <w:szCs w:val="24"/>
          <w:lang w:eastAsia="en-US"/>
        </w:rPr>
        <w:t xml:space="preserve"> </w:t>
      </w:r>
      <w:r>
        <w:rPr>
          <w:rFonts w:ascii="Garamond" w:eastAsiaTheme="minorHAnsi" w:hAnsi="Garamond" w:cs="AdvTT3713a231"/>
          <w:color w:val="131413"/>
          <w:szCs w:val="24"/>
          <w:lang w:eastAsia="en-US"/>
        </w:rPr>
        <w:t>dividing the total number of dispensed DDDs for each specific SSRI by the total number of children</w:t>
      </w:r>
      <w:r w:rsidRPr="001353CB">
        <w:rPr>
          <w:rFonts w:ascii="Garamond" w:eastAsiaTheme="minorHAnsi" w:hAnsi="Garamond" w:cs="AdvTT3713a231"/>
          <w:color w:val="131413"/>
          <w:szCs w:val="24"/>
          <w:lang w:eastAsia="en-US"/>
        </w:rPr>
        <w:t xml:space="preserve"> </w:t>
      </w:r>
      <w:r w:rsidRPr="007865FF">
        <w:rPr>
          <w:rFonts w:ascii="Garamond" w:eastAsiaTheme="minorHAnsi" w:hAnsi="Garamond" w:cs="AdvTT3713a231"/>
          <w:color w:val="131413"/>
          <w:szCs w:val="24"/>
          <w:lang w:eastAsia="en-US"/>
        </w:rPr>
        <w:t xml:space="preserve">in </w:t>
      </w:r>
      <w:r>
        <w:rPr>
          <w:rFonts w:ascii="Garamond" w:eastAsiaTheme="minorHAnsi" w:hAnsi="Garamond" w:cs="AdvTT3713a231"/>
          <w:color w:val="131413"/>
          <w:szCs w:val="24"/>
          <w:lang w:eastAsia="en-US"/>
        </w:rPr>
        <w:t>each</w:t>
      </w:r>
      <w:r w:rsidRPr="007865FF">
        <w:rPr>
          <w:rFonts w:ascii="Garamond" w:eastAsiaTheme="minorHAnsi" w:hAnsi="Garamond" w:cs="AdvTT3713a231"/>
          <w:color w:val="131413"/>
          <w:szCs w:val="24"/>
          <w:lang w:eastAsia="en-US"/>
        </w:rPr>
        <w:t xml:space="preserve"> age and gender category on January </w:t>
      </w:r>
      <w:r>
        <w:rPr>
          <w:rFonts w:ascii="Garamond" w:eastAsiaTheme="minorHAnsi" w:hAnsi="Garamond" w:cs="AdvTT3713a231"/>
          <w:color w:val="131413"/>
          <w:szCs w:val="24"/>
          <w:lang w:eastAsia="en-US"/>
        </w:rPr>
        <w:t xml:space="preserve">1, 2011. </w:t>
      </w:r>
    </w:p>
    <w:p w:rsidR="00C735AD" w:rsidRPr="008815B7" w:rsidRDefault="00C735AD" w:rsidP="00544F3D">
      <w:pPr>
        <w:spacing w:line="360" w:lineRule="auto"/>
        <w:jc w:val="both"/>
        <w:rPr>
          <w:rFonts w:ascii="Garamond" w:hAnsi="Garamond"/>
          <w:b/>
          <w:szCs w:val="24"/>
        </w:rPr>
      </w:pPr>
    </w:p>
    <w:p w:rsidR="00FB1A83" w:rsidRPr="00D02D14" w:rsidRDefault="00D02D14" w:rsidP="00544F3D">
      <w:pPr>
        <w:spacing w:line="360" w:lineRule="auto"/>
        <w:jc w:val="both"/>
        <w:rPr>
          <w:rFonts w:ascii="Garamond" w:hAnsi="Garamond"/>
          <w:i/>
          <w:szCs w:val="24"/>
        </w:rPr>
      </w:pPr>
      <w:r w:rsidRPr="00D02D14">
        <w:rPr>
          <w:rFonts w:ascii="Garamond" w:hAnsi="Garamond"/>
          <w:i/>
          <w:szCs w:val="24"/>
        </w:rPr>
        <w:t xml:space="preserve">What </w:t>
      </w:r>
      <w:r w:rsidR="00524DEC">
        <w:rPr>
          <w:rFonts w:ascii="Garamond" w:hAnsi="Garamond"/>
          <w:i/>
          <w:szCs w:val="24"/>
        </w:rPr>
        <w:t>wa</w:t>
      </w:r>
      <w:r w:rsidRPr="00D02D14">
        <w:rPr>
          <w:rFonts w:ascii="Garamond" w:hAnsi="Garamond"/>
          <w:i/>
          <w:szCs w:val="24"/>
        </w:rPr>
        <w:t>s the incidence</w:t>
      </w:r>
      <w:r w:rsidR="005406AF">
        <w:rPr>
          <w:rFonts w:ascii="Garamond" w:hAnsi="Garamond"/>
          <w:i/>
          <w:szCs w:val="24"/>
        </w:rPr>
        <w:t xml:space="preserve"> </w:t>
      </w:r>
      <w:r w:rsidRPr="00D02D14">
        <w:rPr>
          <w:rFonts w:ascii="Garamond" w:hAnsi="Garamond"/>
          <w:i/>
          <w:szCs w:val="24"/>
        </w:rPr>
        <w:t xml:space="preserve">of </w:t>
      </w:r>
      <w:r w:rsidR="005406AF">
        <w:rPr>
          <w:rFonts w:ascii="Garamond" w:hAnsi="Garamond"/>
          <w:i/>
          <w:szCs w:val="24"/>
        </w:rPr>
        <w:t xml:space="preserve">SSRI </w:t>
      </w:r>
      <w:r w:rsidR="002644BB">
        <w:rPr>
          <w:rFonts w:ascii="Garamond" w:hAnsi="Garamond"/>
          <w:i/>
          <w:szCs w:val="24"/>
        </w:rPr>
        <w:t>use</w:t>
      </w:r>
      <w:r w:rsidRPr="00D02D14">
        <w:rPr>
          <w:rFonts w:ascii="Garamond" w:hAnsi="Garamond"/>
          <w:i/>
          <w:szCs w:val="24"/>
        </w:rPr>
        <w:t>?</w:t>
      </w:r>
    </w:p>
    <w:p w:rsidR="00D02D14" w:rsidRPr="008E5344" w:rsidRDefault="005406AF" w:rsidP="008E5344">
      <w:pPr>
        <w:autoSpaceDE w:val="0"/>
        <w:autoSpaceDN w:val="0"/>
        <w:adjustRightInd w:val="0"/>
        <w:spacing w:line="360" w:lineRule="auto"/>
        <w:jc w:val="both"/>
        <w:rPr>
          <w:rFonts w:ascii="Garamond" w:eastAsiaTheme="minorHAnsi" w:hAnsi="Garamond" w:cs="AdvTT3713a231"/>
          <w:color w:val="131413"/>
          <w:szCs w:val="24"/>
          <w:lang w:eastAsia="en-US"/>
        </w:rPr>
      </w:pPr>
      <w:r>
        <w:rPr>
          <w:rFonts w:ascii="Garamond" w:eastAsiaTheme="minorHAnsi" w:hAnsi="Garamond" w:cs="AdvTT3713a231"/>
          <w:color w:val="131413"/>
          <w:szCs w:val="24"/>
          <w:lang w:eastAsia="en-US"/>
        </w:rPr>
        <w:t xml:space="preserve">Incident </w:t>
      </w:r>
      <w:r w:rsidR="0078229B">
        <w:rPr>
          <w:rFonts w:ascii="Garamond" w:eastAsiaTheme="minorHAnsi" w:hAnsi="Garamond" w:cs="AdvTT3713a231"/>
          <w:color w:val="131413"/>
          <w:szCs w:val="24"/>
          <w:lang w:eastAsia="en-US"/>
        </w:rPr>
        <w:t xml:space="preserve">use was </w:t>
      </w:r>
      <w:r>
        <w:rPr>
          <w:rFonts w:ascii="Garamond" w:eastAsiaTheme="minorHAnsi" w:hAnsi="Garamond" w:cs="AdvTT3713a231"/>
          <w:color w:val="131413"/>
          <w:szCs w:val="24"/>
          <w:lang w:eastAsia="en-US"/>
        </w:rPr>
        <w:t xml:space="preserve">defined as </w:t>
      </w:r>
      <w:r w:rsidR="0078229B">
        <w:rPr>
          <w:rFonts w:ascii="Garamond" w:eastAsiaTheme="minorHAnsi" w:hAnsi="Garamond" w:cs="AdvTT3713a231"/>
          <w:color w:val="131413"/>
          <w:szCs w:val="24"/>
          <w:lang w:eastAsia="en-US"/>
        </w:rPr>
        <w:t xml:space="preserve">children’s </w:t>
      </w:r>
      <w:r>
        <w:rPr>
          <w:rFonts w:ascii="Garamond" w:eastAsiaTheme="minorHAnsi" w:hAnsi="Garamond" w:cs="AdvTT3713a231"/>
          <w:color w:val="131413"/>
          <w:szCs w:val="24"/>
          <w:lang w:eastAsia="en-US"/>
        </w:rPr>
        <w:t xml:space="preserve">first </w:t>
      </w:r>
      <w:r w:rsidR="0078229B">
        <w:rPr>
          <w:rFonts w:ascii="Garamond" w:eastAsiaTheme="minorHAnsi" w:hAnsi="Garamond" w:cs="AdvTT3713a231"/>
          <w:color w:val="131413"/>
          <w:szCs w:val="24"/>
          <w:lang w:eastAsia="en-US"/>
        </w:rPr>
        <w:t xml:space="preserve">filled </w:t>
      </w:r>
      <w:r>
        <w:rPr>
          <w:rFonts w:ascii="Garamond" w:eastAsiaTheme="minorHAnsi" w:hAnsi="Garamond" w:cs="AdvTT3713a231"/>
          <w:color w:val="131413"/>
          <w:szCs w:val="24"/>
          <w:lang w:eastAsia="en-US"/>
        </w:rPr>
        <w:t>prescription for an SSRI in the Registry</w:t>
      </w:r>
      <w:r w:rsidR="00D02D14" w:rsidRPr="008E5344">
        <w:rPr>
          <w:rFonts w:ascii="Garamond" w:eastAsiaTheme="minorHAnsi" w:hAnsi="Garamond" w:cs="AdvTT3713a231"/>
          <w:color w:val="131413"/>
          <w:szCs w:val="24"/>
          <w:lang w:eastAsia="en-US"/>
        </w:rPr>
        <w:t>. As data</w:t>
      </w:r>
      <w:r w:rsidR="008E5344" w:rsidRPr="008E5344">
        <w:rPr>
          <w:rFonts w:ascii="Garamond" w:eastAsiaTheme="minorHAnsi" w:hAnsi="Garamond" w:cs="AdvTT3713a231"/>
          <w:color w:val="131413"/>
          <w:szCs w:val="24"/>
          <w:lang w:eastAsia="en-US"/>
        </w:rPr>
        <w:t xml:space="preserve"> </w:t>
      </w:r>
      <w:r w:rsidR="00D02D14" w:rsidRPr="008E5344">
        <w:rPr>
          <w:rFonts w:ascii="Garamond" w:eastAsiaTheme="minorHAnsi" w:hAnsi="Garamond" w:cs="AdvTT3713a231"/>
          <w:color w:val="131413"/>
          <w:szCs w:val="24"/>
          <w:lang w:eastAsia="en-US"/>
        </w:rPr>
        <w:t>w</w:t>
      </w:r>
      <w:r w:rsidR="002644BB">
        <w:rPr>
          <w:rFonts w:ascii="Garamond" w:eastAsiaTheme="minorHAnsi" w:hAnsi="Garamond" w:cs="AdvTT3713a231"/>
          <w:color w:val="131413"/>
          <w:szCs w:val="24"/>
          <w:lang w:eastAsia="en-US"/>
        </w:rPr>
        <w:t>ere</w:t>
      </w:r>
      <w:r w:rsidR="00D02D14" w:rsidRPr="008E5344">
        <w:rPr>
          <w:rFonts w:ascii="Garamond" w:eastAsiaTheme="minorHAnsi" w:hAnsi="Garamond" w:cs="AdvTT3713a231"/>
          <w:color w:val="131413"/>
          <w:szCs w:val="24"/>
          <w:lang w:eastAsia="en-US"/>
        </w:rPr>
        <w:t xml:space="preserve"> not available prior to 1995, only data from 1997 and</w:t>
      </w:r>
      <w:r w:rsidR="008E5344" w:rsidRPr="008E5344">
        <w:rPr>
          <w:rFonts w:ascii="Garamond" w:eastAsiaTheme="minorHAnsi" w:hAnsi="Garamond" w:cs="AdvTT3713a231"/>
          <w:color w:val="131413"/>
          <w:szCs w:val="24"/>
          <w:lang w:eastAsia="en-US"/>
        </w:rPr>
        <w:t xml:space="preserve"> </w:t>
      </w:r>
      <w:r w:rsidR="00F8198F">
        <w:rPr>
          <w:rFonts w:ascii="Garamond" w:eastAsiaTheme="minorHAnsi" w:hAnsi="Garamond" w:cs="AdvTT3713a231"/>
          <w:color w:val="131413"/>
          <w:szCs w:val="24"/>
          <w:lang w:eastAsia="en-US"/>
        </w:rPr>
        <w:t>on</w:t>
      </w:r>
      <w:r w:rsidR="00D02D14" w:rsidRPr="008E5344">
        <w:rPr>
          <w:rFonts w:ascii="Garamond" w:eastAsiaTheme="minorHAnsi" w:hAnsi="Garamond" w:cs="AdvTT3713a231"/>
          <w:color w:val="131413"/>
          <w:szCs w:val="24"/>
          <w:lang w:eastAsia="en-US"/>
        </w:rPr>
        <w:t>ward</w:t>
      </w:r>
      <w:r w:rsidR="00F8198F">
        <w:rPr>
          <w:rFonts w:ascii="Garamond" w:eastAsiaTheme="minorHAnsi" w:hAnsi="Garamond" w:cs="AdvTT3713a231"/>
          <w:color w:val="131413"/>
          <w:szCs w:val="24"/>
          <w:lang w:eastAsia="en-US"/>
        </w:rPr>
        <w:t>s</w:t>
      </w:r>
      <w:r>
        <w:rPr>
          <w:rFonts w:ascii="Garamond" w:eastAsiaTheme="minorHAnsi" w:hAnsi="Garamond" w:cs="AdvTT3713a231"/>
          <w:color w:val="131413"/>
          <w:szCs w:val="24"/>
          <w:lang w:eastAsia="en-US"/>
        </w:rPr>
        <w:t xml:space="preserve"> are shown, thus giving </w:t>
      </w:r>
      <w:r w:rsidR="00D02D14" w:rsidRPr="008E5344">
        <w:rPr>
          <w:rFonts w:ascii="Garamond" w:eastAsiaTheme="minorHAnsi" w:hAnsi="Garamond" w:cs="AdvTT3713a231"/>
          <w:color w:val="131413"/>
          <w:szCs w:val="24"/>
          <w:lang w:eastAsia="en-US"/>
        </w:rPr>
        <w:t>a 2-year run in period</w:t>
      </w:r>
      <w:r>
        <w:rPr>
          <w:rFonts w:ascii="Garamond" w:eastAsiaTheme="minorHAnsi" w:hAnsi="Garamond" w:cs="AdvTT3713a231"/>
          <w:color w:val="131413"/>
          <w:szCs w:val="24"/>
          <w:lang w:eastAsia="en-US"/>
        </w:rPr>
        <w:t xml:space="preserve"> to avoid misclassification of previous uses as incident users</w:t>
      </w:r>
      <w:r w:rsidR="00D02D14" w:rsidRPr="008E5344">
        <w:rPr>
          <w:rFonts w:ascii="Garamond" w:eastAsiaTheme="minorHAnsi" w:hAnsi="Garamond" w:cs="AdvTT3713a231"/>
          <w:color w:val="131413"/>
          <w:szCs w:val="24"/>
          <w:lang w:eastAsia="en-US"/>
        </w:rPr>
        <w:t xml:space="preserve">. </w:t>
      </w:r>
      <w:r w:rsidR="00F273B2">
        <w:rPr>
          <w:rFonts w:ascii="Garamond" w:eastAsiaTheme="minorHAnsi" w:hAnsi="Garamond" w:cs="AdvTT3713a231"/>
          <w:color w:val="131413"/>
          <w:szCs w:val="24"/>
          <w:lang w:eastAsia="en-US"/>
        </w:rPr>
        <w:t>We calculated the</w:t>
      </w:r>
      <w:r w:rsidR="00D02D14" w:rsidRPr="008E5344">
        <w:rPr>
          <w:rFonts w:ascii="Garamond" w:eastAsiaTheme="minorHAnsi" w:hAnsi="Garamond" w:cs="AdvTT3713a231"/>
          <w:color w:val="131413"/>
          <w:szCs w:val="24"/>
          <w:lang w:eastAsia="en-US"/>
        </w:rPr>
        <w:t xml:space="preserve"> </w:t>
      </w:r>
      <w:r w:rsidR="00F273B2">
        <w:rPr>
          <w:rFonts w:ascii="Garamond" w:eastAsiaTheme="minorHAnsi" w:hAnsi="Garamond" w:cs="AdvTT3713a231"/>
          <w:color w:val="131413"/>
          <w:szCs w:val="24"/>
          <w:lang w:eastAsia="en-US"/>
        </w:rPr>
        <w:t xml:space="preserve">annual </w:t>
      </w:r>
      <w:r w:rsidR="00D02D14" w:rsidRPr="008E5344">
        <w:rPr>
          <w:rFonts w:ascii="Garamond" w:eastAsiaTheme="minorHAnsi" w:hAnsi="Garamond" w:cs="AdvTT3713a231"/>
          <w:color w:val="131413"/>
          <w:szCs w:val="24"/>
          <w:lang w:eastAsia="en-US"/>
        </w:rPr>
        <w:t xml:space="preserve">incidence </w:t>
      </w:r>
      <w:r>
        <w:rPr>
          <w:rFonts w:ascii="Garamond" w:eastAsiaTheme="minorHAnsi" w:hAnsi="Garamond" w:cs="AdvTT3713a231"/>
          <w:color w:val="131413"/>
          <w:szCs w:val="24"/>
          <w:lang w:eastAsia="en-US"/>
        </w:rPr>
        <w:t xml:space="preserve">proportion </w:t>
      </w:r>
      <w:r w:rsidR="00D02D14" w:rsidRPr="008E5344">
        <w:rPr>
          <w:rFonts w:ascii="Garamond" w:eastAsiaTheme="minorHAnsi" w:hAnsi="Garamond" w:cs="AdvTT3713a231"/>
          <w:color w:val="131413"/>
          <w:szCs w:val="24"/>
          <w:lang w:eastAsia="en-US"/>
        </w:rPr>
        <w:t>by dividing the number of</w:t>
      </w:r>
      <w:r w:rsidR="00F273B2">
        <w:rPr>
          <w:rFonts w:ascii="Garamond" w:eastAsiaTheme="minorHAnsi" w:hAnsi="Garamond" w:cs="AdvTT3713a231"/>
          <w:color w:val="131413"/>
          <w:szCs w:val="24"/>
          <w:lang w:eastAsia="en-US"/>
        </w:rPr>
        <w:t xml:space="preserve"> </w:t>
      </w:r>
      <w:r w:rsidR="0078229B">
        <w:rPr>
          <w:rFonts w:ascii="Garamond" w:eastAsiaTheme="minorHAnsi" w:hAnsi="Garamond" w:cs="AdvTT3713a231"/>
          <w:color w:val="131413"/>
          <w:szCs w:val="24"/>
          <w:lang w:eastAsia="en-US"/>
        </w:rPr>
        <w:t>children who filled their first</w:t>
      </w:r>
      <w:r w:rsidR="00D02D14" w:rsidRPr="008E5344">
        <w:rPr>
          <w:rFonts w:ascii="Garamond" w:eastAsiaTheme="minorHAnsi" w:hAnsi="Garamond" w:cs="AdvTT3713a231"/>
          <w:color w:val="131413"/>
          <w:szCs w:val="24"/>
          <w:lang w:eastAsia="en-US"/>
        </w:rPr>
        <w:t xml:space="preserve"> </w:t>
      </w:r>
      <w:r w:rsidR="00F273B2">
        <w:rPr>
          <w:rFonts w:ascii="Garamond" w:eastAsiaTheme="minorHAnsi" w:hAnsi="Garamond" w:cs="AdvTT3713a231"/>
          <w:color w:val="131413"/>
          <w:szCs w:val="24"/>
          <w:lang w:eastAsia="en-US"/>
        </w:rPr>
        <w:t>SSRI</w:t>
      </w:r>
      <w:r w:rsidR="0078229B">
        <w:rPr>
          <w:rFonts w:ascii="Garamond" w:eastAsiaTheme="minorHAnsi" w:hAnsi="Garamond" w:cs="AdvTT3713a231"/>
          <w:color w:val="131413"/>
          <w:szCs w:val="24"/>
          <w:lang w:eastAsia="en-US"/>
        </w:rPr>
        <w:t xml:space="preserve"> prescription </w:t>
      </w:r>
      <w:r w:rsidR="00D05A92">
        <w:rPr>
          <w:rFonts w:ascii="Garamond" w:eastAsiaTheme="minorHAnsi" w:hAnsi="Garamond" w:cs="AdvTT3713a231"/>
          <w:color w:val="131413"/>
          <w:szCs w:val="24"/>
          <w:lang w:eastAsia="en-US"/>
        </w:rPr>
        <w:t>by</w:t>
      </w:r>
      <w:r w:rsidR="008E5344" w:rsidRPr="008E5344">
        <w:rPr>
          <w:rFonts w:ascii="Garamond" w:eastAsiaTheme="minorHAnsi" w:hAnsi="Garamond" w:cs="AdvTT3713a231"/>
          <w:color w:val="131413"/>
          <w:szCs w:val="24"/>
          <w:lang w:eastAsia="en-US"/>
        </w:rPr>
        <w:t xml:space="preserve"> </w:t>
      </w:r>
      <w:r w:rsidR="00F273B2">
        <w:rPr>
          <w:rFonts w:ascii="Garamond" w:eastAsiaTheme="minorHAnsi" w:hAnsi="Garamond" w:cs="AdvTT3713a231"/>
          <w:color w:val="131413"/>
          <w:szCs w:val="24"/>
          <w:lang w:eastAsia="en-US"/>
        </w:rPr>
        <w:t xml:space="preserve">the </w:t>
      </w:r>
      <w:r w:rsidR="004E4EB7">
        <w:rPr>
          <w:rFonts w:ascii="Garamond" w:eastAsiaTheme="minorHAnsi" w:hAnsi="Garamond" w:cs="AdvTT3713a231"/>
          <w:color w:val="131413"/>
          <w:szCs w:val="24"/>
          <w:lang w:eastAsia="en-US"/>
        </w:rPr>
        <w:t xml:space="preserve">total </w:t>
      </w:r>
      <w:r w:rsidR="00F273B2">
        <w:rPr>
          <w:rFonts w:ascii="Garamond" w:eastAsiaTheme="minorHAnsi" w:hAnsi="Garamond" w:cs="AdvTT3713a231"/>
          <w:color w:val="131413"/>
          <w:szCs w:val="24"/>
          <w:lang w:eastAsia="en-US"/>
        </w:rPr>
        <w:t>number</w:t>
      </w:r>
      <w:r w:rsidR="00D717A3">
        <w:rPr>
          <w:rFonts w:ascii="Garamond" w:eastAsiaTheme="minorHAnsi" w:hAnsi="Garamond" w:cs="AdvTT3713a231"/>
          <w:color w:val="131413"/>
          <w:szCs w:val="24"/>
          <w:lang w:eastAsia="en-US"/>
        </w:rPr>
        <w:t xml:space="preserve"> of</w:t>
      </w:r>
      <w:r w:rsidR="00F273B2">
        <w:rPr>
          <w:rFonts w:ascii="Garamond" w:eastAsiaTheme="minorHAnsi" w:hAnsi="Garamond" w:cs="AdvTT3713a231"/>
          <w:color w:val="131413"/>
          <w:szCs w:val="24"/>
          <w:lang w:eastAsia="en-US"/>
        </w:rPr>
        <w:t xml:space="preserve"> </w:t>
      </w:r>
      <w:r>
        <w:rPr>
          <w:rFonts w:ascii="Garamond" w:eastAsiaTheme="minorHAnsi" w:hAnsi="Garamond" w:cs="AdvTT3713a231"/>
          <w:color w:val="131413"/>
          <w:szCs w:val="24"/>
          <w:lang w:eastAsia="en-US"/>
        </w:rPr>
        <w:t xml:space="preserve">children </w:t>
      </w:r>
      <w:r w:rsidR="004E4EB7">
        <w:rPr>
          <w:rFonts w:ascii="Garamond" w:eastAsiaTheme="minorHAnsi" w:hAnsi="Garamond" w:cs="AdvTT3713a231"/>
          <w:color w:val="131413"/>
          <w:szCs w:val="24"/>
          <w:lang w:eastAsia="en-US"/>
        </w:rPr>
        <w:t>within each age and gender category living</w:t>
      </w:r>
      <w:r w:rsidR="00D05A92">
        <w:rPr>
          <w:rFonts w:ascii="Garamond" w:eastAsiaTheme="minorHAnsi" w:hAnsi="Garamond" w:cs="AdvTT3713a231"/>
          <w:color w:val="131413"/>
          <w:szCs w:val="24"/>
          <w:lang w:eastAsia="en-US"/>
        </w:rPr>
        <w:t xml:space="preserve"> </w:t>
      </w:r>
      <w:r w:rsidR="00F273B2">
        <w:rPr>
          <w:rFonts w:ascii="Garamond" w:eastAsiaTheme="minorHAnsi" w:hAnsi="Garamond" w:cs="AdvTT3713a231"/>
          <w:color w:val="131413"/>
          <w:szCs w:val="24"/>
          <w:lang w:eastAsia="en-US"/>
        </w:rPr>
        <w:t xml:space="preserve">in Denmark on January 1 </w:t>
      </w:r>
      <w:r w:rsidR="00D05A92">
        <w:rPr>
          <w:rFonts w:ascii="Garamond" w:eastAsiaTheme="minorHAnsi" w:hAnsi="Garamond" w:cs="AdvTT3713a231"/>
          <w:color w:val="131413"/>
          <w:szCs w:val="24"/>
          <w:lang w:eastAsia="en-US"/>
        </w:rPr>
        <w:t xml:space="preserve">of </w:t>
      </w:r>
      <w:r>
        <w:rPr>
          <w:rFonts w:ascii="Garamond" w:eastAsiaTheme="minorHAnsi" w:hAnsi="Garamond" w:cs="AdvTT3713a231"/>
          <w:color w:val="131413"/>
          <w:szCs w:val="24"/>
          <w:lang w:eastAsia="en-US"/>
        </w:rPr>
        <w:t>the</w:t>
      </w:r>
      <w:r w:rsidR="00F273B2">
        <w:rPr>
          <w:rFonts w:ascii="Garamond" w:eastAsiaTheme="minorHAnsi" w:hAnsi="Garamond" w:cs="AdvTT3713a231"/>
          <w:color w:val="131413"/>
          <w:szCs w:val="24"/>
          <w:lang w:eastAsia="en-US"/>
        </w:rPr>
        <w:t xml:space="preserve"> relevant</w:t>
      </w:r>
      <w:r>
        <w:rPr>
          <w:rFonts w:ascii="Garamond" w:eastAsiaTheme="minorHAnsi" w:hAnsi="Garamond" w:cs="AdvTT3713a231"/>
          <w:color w:val="131413"/>
          <w:szCs w:val="24"/>
          <w:lang w:eastAsia="en-US"/>
        </w:rPr>
        <w:t xml:space="preserve"> </w:t>
      </w:r>
      <w:r w:rsidR="00F273B2">
        <w:rPr>
          <w:rFonts w:ascii="Garamond" w:eastAsiaTheme="minorHAnsi" w:hAnsi="Garamond" w:cs="AdvTT3713a231"/>
          <w:color w:val="131413"/>
          <w:szCs w:val="24"/>
          <w:lang w:eastAsia="en-US"/>
        </w:rPr>
        <w:t>year.</w:t>
      </w:r>
      <w:r>
        <w:rPr>
          <w:rFonts w:ascii="Garamond" w:eastAsiaTheme="minorHAnsi" w:hAnsi="Garamond" w:cs="AdvTT3713a231"/>
          <w:color w:val="131413"/>
          <w:szCs w:val="24"/>
          <w:lang w:eastAsia="en-US"/>
        </w:rPr>
        <w:t xml:space="preserve"> </w:t>
      </w:r>
      <w:r w:rsidR="00F273B2">
        <w:rPr>
          <w:rFonts w:ascii="Garamond" w:eastAsiaTheme="minorHAnsi" w:hAnsi="Garamond" w:cs="AdvTT3713a231"/>
          <w:color w:val="131413"/>
          <w:szCs w:val="24"/>
          <w:lang w:eastAsia="en-US"/>
        </w:rPr>
        <w:t xml:space="preserve"> </w:t>
      </w:r>
      <w:r w:rsidR="00D02D14" w:rsidRPr="008E5344">
        <w:rPr>
          <w:rFonts w:ascii="Garamond" w:eastAsiaTheme="minorHAnsi" w:hAnsi="Garamond" w:cs="AdvTT3713a231"/>
          <w:color w:val="131413"/>
          <w:szCs w:val="24"/>
          <w:lang w:eastAsia="en-US"/>
        </w:rPr>
        <w:t xml:space="preserve">The incidence </w:t>
      </w:r>
      <w:r>
        <w:rPr>
          <w:rFonts w:ascii="Garamond" w:eastAsiaTheme="minorHAnsi" w:hAnsi="Garamond" w:cs="AdvTT3713a231"/>
          <w:color w:val="131413"/>
          <w:szCs w:val="24"/>
          <w:lang w:eastAsia="en-US"/>
        </w:rPr>
        <w:t xml:space="preserve">proportion </w:t>
      </w:r>
      <w:r w:rsidR="00D02D14" w:rsidRPr="008E5344">
        <w:rPr>
          <w:rFonts w:ascii="Garamond" w:eastAsiaTheme="minorHAnsi" w:hAnsi="Garamond" w:cs="AdvTT3713a231"/>
          <w:color w:val="131413"/>
          <w:szCs w:val="24"/>
          <w:lang w:eastAsia="en-US"/>
        </w:rPr>
        <w:t>was</w:t>
      </w:r>
      <w:r w:rsidR="008E5344" w:rsidRPr="008E5344">
        <w:rPr>
          <w:rFonts w:ascii="Garamond" w:eastAsiaTheme="minorHAnsi" w:hAnsi="Garamond" w:cs="AdvTT3713a231"/>
          <w:color w:val="131413"/>
          <w:szCs w:val="24"/>
          <w:lang w:eastAsia="en-US"/>
        </w:rPr>
        <w:t xml:space="preserve"> </w:t>
      </w:r>
      <w:r w:rsidR="00D02D14" w:rsidRPr="008E5344">
        <w:rPr>
          <w:rFonts w:ascii="Garamond" w:eastAsiaTheme="minorHAnsi" w:hAnsi="Garamond" w:cs="AdvTT3713a231"/>
          <w:color w:val="131413"/>
          <w:szCs w:val="24"/>
          <w:lang w:eastAsia="en-US"/>
        </w:rPr>
        <w:t>given per 1,000 person</w:t>
      </w:r>
      <w:r>
        <w:rPr>
          <w:rFonts w:ascii="Garamond" w:eastAsiaTheme="minorHAnsi" w:hAnsi="Garamond" w:cs="AdvTT3713a231"/>
          <w:color w:val="131413"/>
          <w:szCs w:val="24"/>
          <w:lang w:eastAsia="en-US"/>
        </w:rPr>
        <w:t>s</w:t>
      </w:r>
      <w:r w:rsidR="00D02D14" w:rsidRPr="008E5344">
        <w:rPr>
          <w:rFonts w:ascii="Garamond" w:eastAsiaTheme="minorHAnsi" w:hAnsi="Garamond" w:cs="AdvTT3713a231"/>
          <w:color w:val="131413"/>
          <w:szCs w:val="24"/>
          <w:lang w:eastAsia="en-US"/>
        </w:rPr>
        <w:t>.</w:t>
      </w:r>
      <w:r w:rsidR="005F6EEA">
        <w:rPr>
          <w:rFonts w:ascii="Garamond" w:eastAsiaTheme="minorHAnsi" w:hAnsi="Garamond" w:cs="AdvTT3713a231"/>
          <w:color w:val="131413"/>
          <w:szCs w:val="24"/>
          <w:lang w:eastAsia="en-US"/>
        </w:rPr>
        <w:t xml:space="preserve"> </w:t>
      </w:r>
    </w:p>
    <w:p w:rsidR="008E5344" w:rsidRPr="008E5344" w:rsidRDefault="008E5344" w:rsidP="008E5344">
      <w:pPr>
        <w:autoSpaceDE w:val="0"/>
        <w:autoSpaceDN w:val="0"/>
        <w:adjustRightInd w:val="0"/>
        <w:spacing w:line="360" w:lineRule="auto"/>
        <w:jc w:val="both"/>
        <w:rPr>
          <w:rFonts w:ascii="Garamond" w:eastAsiaTheme="minorHAnsi" w:hAnsi="Garamond" w:cs="AdvTT3713a231"/>
          <w:color w:val="131413"/>
          <w:szCs w:val="24"/>
          <w:lang w:eastAsia="en-US"/>
        </w:rPr>
      </w:pPr>
      <w:r w:rsidRPr="008E5344">
        <w:rPr>
          <w:rFonts w:ascii="Garamond" w:eastAsiaTheme="minorHAnsi" w:hAnsi="Garamond" w:cs="AdvTT3713a231"/>
          <w:color w:val="131413"/>
          <w:szCs w:val="24"/>
          <w:lang w:eastAsia="en-US"/>
        </w:rPr>
        <w:t xml:space="preserve">To </w:t>
      </w:r>
      <w:r w:rsidR="005F6EEA">
        <w:rPr>
          <w:rFonts w:ascii="Garamond" w:eastAsiaTheme="minorHAnsi" w:hAnsi="Garamond" w:cs="AdvTT3713a231"/>
          <w:color w:val="131413"/>
          <w:szCs w:val="24"/>
          <w:lang w:eastAsia="en-US"/>
        </w:rPr>
        <w:t xml:space="preserve">test </w:t>
      </w:r>
      <w:r w:rsidR="0078229B">
        <w:rPr>
          <w:rFonts w:ascii="Garamond" w:eastAsiaTheme="minorHAnsi" w:hAnsi="Garamond" w:cs="AdvTT3713a231"/>
          <w:color w:val="131413"/>
          <w:szCs w:val="24"/>
          <w:lang w:eastAsia="en-US"/>
        </w:rPr>
        <w:t xml:space="preserve">whether the </w:t>
      </w:r>
      <w:r w:rsidRPr="008E5344">
        <w:rPr>
          <w:rFonts w:ascii="Garamond" w:eastAsiaTheme="minorHAnsi" w:hAnsi="Garamond" w:cs="AdvTT3713a231"/>
          <w:color w:val="131413"/>
          <w:szCs w:val="24"/>
          <w:lang w:eastAsia="en-US"/>
        </w:rPr>
        <w:t>choice of first-line treatment</w:t>
      </w:r>
      <w:r w:rsidR="005F6EEA">
        <w:rPr>
          <w:rFonts w:ascii="Garamond" w:eastAsiaTheme="minorHAnsi" w:hAnsi="Garamond" w:cs="AdvTT3713a231"/>
          <w:color w:val="131413"/>
          <w:szCs w:val="24"/>
          <w:lang w:eastAsia="en-US"/>
        </w:rPr>
        <w:t xml:space="preserve"> with SSRIs</w:t>
      </w:r>
      <w:r w:rsidRPr="008E5344">
        <w:rPr>
          <w:rFonts w:ascii="Garamond" w:eastAsiaTheme="minorHAnsi" w:hAnsi="Garamond" w:cs="AdvTT3713a231"/>
          <w:color w:val="131413"/>
          <w:szCs w:val="24"/>
          <w:lang w:eastAsia="en-US"/>
        </w:rPr>
        <w:t xml:space="preserve"> changed during the </w:t>
      </w:r>
      <w:r w:rsidR="00D05A92">
        <w:rPr>
          <w:rFonts w:ascii="Garamond" w:eastAsiaTheme="minorHAnsi" w:hAnsi="Garamond" w:cs="AdvTT3713a231"/>
          <w:color w:val="131413"/>
          <w:szCs w:val="24"/>
          <w:lang w:eastAsia="en-US"/>
        </w:rPr>
        <w:t xml:space="preserve">study </w:t>
      </w:r>
      <w:r w:rsidRPr="008E5344">
        <w:rPr>
          <w:rFonts w:ascii="Garamond" w:eastAsiaTheme="minorHAnsi" w:hAnsi="Garamond" w:cs="AdvTT3713a231"/>
          <w:color w:val="131413"/>
          <w:szCs w:val="24"/>
          <w:lang w:eastAsia="en-US"/>
        </w:rPr>
        <w:t xml:space="preserve">period, we </w:t>
      </w:r>
      <w:r w:rsidR="005F6EEA">
        <w:rPr>
          <w:rFonts w:ascii="Garamond" w:eastAsiaTheme="minorHAnsi" w:hAnsi="Garamond" w:cs="AdvTT3713a231"/>
          <w:color w:val="131413"/>
          <w:szCs w:val="24"/>
          <w:lang w:eastAsia="en-US"/>
        </w:rPr>
        <w:t xml:space="preserve">further </w:t>
      </w:r>
      <w:r w:rsidR="00416FBB">
        <w:rPr>
          <w:rFonts w:ascii="Garamond" w:eastAsiaTheme="minorHAnsi" w:hAnsi="Garamond" w:cs="AdvTT3713a231"/>
          <w:color w:val="131413"/>
          <w:szCs w:val="24"/>
          <w:lang w:eastAsia="en-US"/>
        </w:rPr>
        <w:t>stratified</w:t>
      </w:r>
      <w:r w:rsidR="007C172C">
        <w:rPr>
          <w:rFonts w:ascii="Garamond" w:eastAsiaTheme="minorHAnsi" w:hAnsi="Garamond" w:cs="AdvTT3713a231"/>
          <w:color w:val="131413"/>
          <w:szCs w:val="24"/>
          <w:lang w:eastAsia="en-US"/>
        </w:rPr>
        <w:t xml:space="preserve"> </w:t>
      </w:r>
      <w:r w:rsidR="005F6EEA">
        <w:rPr>
          <w:rFonts w:ascii="Garamond" w:eastAsiaTheme="minorHAnsi" w:hAnsi="Garamond" w:cs="AdvTT3713a231"/>
          <w:color w:val="131413"/>
          <w:szCs w:val="24"/>
          <w:lang w:eastAsia="en-US"/>
        </w:rPr>
        <w:t xml:space="preserve">all incidence analyses </w:t>
      </w:r>
      <w:r w:rsidR="007C172C">
        <w:rPr>
          <w:rFonts w:ascii="Garamond" w:eastAsiaTheme="minorHAnsi" w:hAnsi="Garamond" w:cs="AdvTT3713a231"/>
          <w:color w:val="131413"/>
          <w:szCs w:val="24"/>
          <w:lang w:eastAsia="en-US"/>
        </w:rPr>
        <w:t>by type of SSRI</w:t>
      </w:r>
      <w:r w:rsidRPr="008E5344">
        <w:rPr>
          <w:rFonts w:ascii="Garamond" w:eastAsiaTheme="minorHAnsi" w:hAnsi="Garamond" w:cs="AdvTT3713a231"/>
          <w:color w:val="131413"/>
          <w:szCs w:val="24"/>
          <w:lang w:eastAsia="en-US"/>
        </w:rPr>
        <w:t>.</w:t>
      </w:r>
      <w:r w:rsidR="007C172C">
        <w:rPr>
          <w:rFonts w:ascii="Garamond" w:eastAsiaTheme="minorHAnsi" w:hAnsi="Garamond" w:cs="AdvTT3713a231"/>
          <w:color w:val="131413"/>
          <w:szCs w:val="24"/>
          <w:lang w:eastAsia="en-US"/>
        </w:rPr>
        <w:t xml:space="preserve"> </w:t>
      </w:r>
    </w:p>
    <w:p w:rsidR="008E5344" w:rsidRDefault="008E5344" w:rsidP="008E5344">
      <w:pPr>
        <w:autoSpaceDE w:val="0"/>
        <w:autoSpaceDN w:val="0"/>
        <w:adjustRightInd w:val="0"/>
        <w:rPr>
          <w:rFonts w:ascii="AdvTT3713a231" w:eastAsiaTheme="minorHAnsi" w:hAnsi="AdvTT3713a231" w:cs="AdvTT3713a231"/>
          <w:color w:val="131413"/>
          <w:sz w:val="20"/>
          <w:lang w:eastAsia="en-US"/>
        </w:rPr>
      </w:pPr>
    </w:p>
    <w:p w:rsidR="008E5344" w:rsidRPr="008E5344" w:rsidRDefault="008E5344" w:rsidP="008E5344">
      <w:pPr>
        <w:autoSpaceDE w:val="0"/>
        <w:autoSpaceDN w:val="0"/>
        <w:adjustRightInd w:val="0"/>
        <w:rPr>
          <w:rFonts w:ascii="Garamond" w:hAnsi="Garamond"/>
          <w:i/>
          <w:szCs w:val="24"/>
        </w:rPr>
      </w:pPr>
      <w:r>
        <w:rPr>
          <w:rFonts w:ascii="AdvTT3713a231" w:eastAsiaTheme="minorHAnsi" w:hAnsi="AdvTT3713a231" w:cs="AdvTT3713a231"/>
          <w:color w:val="131413"/>
          <w:sz w:val="20"/>
          <w:lang w:eastAsia="en-US"/>
        </w:rPr>
        <w:t xml:space="preserve"> </w:t>
      </w:r>
    </w:p>
    <w:p w:rsidR="008815B7" w:rsidRPr="007865FF" w:rsidRDefault="00416FBB" w:rsidP="007865FF">
      <w:pPr>
        <w:spacing w:line="360" w:lineRule="auto"/>
        <w:jc w:val="both"/>
        <w:rPr>
          <w:rFonts w:ascii="Garamond" w:hAnsi="Garamond"/>
          <w:i/>
          <w:szCs w:val="24"/>
        </w:rPr>
      </w:pPr>
      <w:r w:rsidRPr="007865FF">
        <w:rPr>
          <w:rFonts w:ascii="Garamond" w:hAnsi="Garamond"/>
          <w:i/>
          <w:szCs w:val="24"/>
        </w:rPr>
        <w:t xml:space="preserve">What </w:t>
      </w:r>
      <w:r w:rsidR="00675C62">
        <w:rPr>
          <w:rFonts w:ascii="Garamond" w:hAnsi="Garamond"/>
          <w:i/>
          <w:szCs w:val="24"/>
        </w:rPr>
        <w:t>was</w:t>
      </w:r>
      <w:r w:rsidRPr="007865FF">
        <w:rPr>
          <w:rFonts w:ascii="Garamond" w:hAnsi="Garamond"/>
          <w:i/>
          <w:szCs w:val="24"/>
        </w:rPr>
        <w:t xml:space="preserve"> the prevalence of </w:t>
      </w:r>
      <w:r w:rsidR="00675C62">
        <w:rPr>
          <w:rFonts w:ascii="Garamond" w:hAnsi="Garamond"/>
          <w:i/>
          <w:szCs w:val="24"/>
        </w:rPr>
        <w:t>SSRI drug use</w:t>
      </w:r>
      <w:r w:rsidRPr="007865FF">
        <w:rPr>
          <w:rFonts w:ascii="Garamond" w:hAnsi="Garamond"/>
          <w:i/>
          <w:szCs w:val="24"/>
        </w:rPr>
        <w:t>?</w:t>
      </w:r>
    </w:p>
    <w:p w:rsidR="001353CB" w:rsidRDefault="001F6750" w:rsidP="000F0A0C">
      <w:pPr>
        <w:autoSpaceDE w:val="0"/>
        <w:autoSpaceDN w:val="0"/>
        <w:adjustRightInd w:val="0"/>
        <w:spacing w:line="360" w:lineRule="auto"/>
        <w:jc w:val="both"/>
        <w:rPr>
          <w:rFonts w:ascii="Garamond" w:eastAsiaTheme="minorHAnsi" w:hAnsi="Garamond" w:cs="AdvTT3713a231"/>
          <w:color w:val="131413"/>
          <w:szCs w:val="24"/>
          <w:lang w:eastAsia="en-US"/>
        </w:rPr>
      </w:pPr>
      <w:r>
        <w:rPr>
          <w:rFonts w:ascii="Garamond" w:eastAsiaTheme="minorHAnsi" w:hAnsi="Garamond" w:cs="AdvTT3713a231"/>
          <w:color w:val="131413"/>
          <w:szCs w:val="24"/>
          <w:lang w:eastAsia="en-US"/>
        </w:rPr>
        <w:t>T</w:t>
      </w:r>
      <w:r w:rsidR="00CD6CAA">
        <w:rPr>
          <w:rFonts w:ascii="Garamond" w:eastAsiaTheme="minorHAnsi" w:hAnsi="Garamond" w:cs="AdvTT3713a231"/>
          <w:color w:val="131413"/>
          <w:szCs w:val="24"/>
          <w:lang w:eastAsia="en-US"/>
        </w:rPr>
        <w:t>he point p</w:t>
      </w:r>
      <w:r w:rsidR="00675C62">
        <w:rPr>
          <w:rFonts w:ascii="Garamond" w:eastAsiaTheme="minorHAnsi" w:hAnsi="Garamond" w:cs="AdvTT3713a231"/>
          <w:color w:val="131413"/>
          <w:szCs w:val="24"/>
          <w:lang w:eastAsia="en-US"/>
        </w:rPr>
        <w:t>revalence</w:t>
      </w:r>
      <w:r w:rsidR="000F0A0C">
        <w:rPr>
          <w:rFonts w:ascii="Garamond" w:eastAsiaTheme="minorHAnsi" w:hAnsi="Garamond" w:cs="AdvTT3713a231"/>
          <w:color w:val="131413"/>
          <w:szCs w:val="24"/>
          <w:lang w:eastAsia="en-US"/>
        </w:rPr>
        <w:t xml:space="preserve"> </w:t>
      </w:r>
      <w:r w:rsidR="00675C62">
        <w:rPr>
          <w:rFonts w:ascii="Garamond" w:eastAsiaTheme="minorHAnsi" w:hAnsi="Garamond" w:cs="AdvTT3713a231"/>
          <w:color w:val="131413"/>
          <w:szCs w:val="24"/>
          <w:lang w:eastAsia="en-US"/>
        </w:rPr>
        <w:t>of SSRI use</w:t>
      </w:r>
      <w:r>
        <w:rPr>
          <w:rFonts w:ascii="Garamond" w:eastAsiaTheme="minorHAnsi" w:hAnsi="Garamond" w:cs="AdvTT3713a231"/>
          <w:color w:val="131413"/>
          <w:szCs w:val="24"/>
          <w:lang w:eastAsia="en-US"/>
        </w:rPr>
        <w:t>,</w:t>
      </w:r>
      <w:r w:rsidR="000F0A0C">
        <w:rPr>
          <w:rFonts w:ascii="Garamond" w:eastAsiaTheme="minorHAnsi" w:hAnsi="Garamond" w:cs="AdvTT3713a231"/>
          <w:color w:val="131413"/>
          <w:szCs w:val="24"/>
          <w:lang w:eastAsia="en-US"/>
        </w:rPr>
        <w:t xml:space="preserve"> </w:t>
      </w:r>
      <w:r>
        <w:rPr>
          <w:rFonts w:ascii="Garamond" w:eastAsiaTheme="minorHAnsi" w:hAnsi="Garamond" w:cs="AdvTT3713a231"/>
          <w:color w:val="131413"/>
          <w:szCs w:val="24"/>
          <w:lang w:eastAsia="en-US"/>
        </w:rPr>
        <w:t xml:space="preserve">i.e. current </w:t>
      </w:r>
      <w:r w:rsidR="000F0A0C">
        <w:rPr>
          <w:rFonts w:ascii="Garamond" w:eastAsiaTheme="minorHAnsi" w:hAnsi="Garamond" w:cs="AdvTT3713a231"/>
          <w:color w:val="131413"/>
          <w:szCs w:val="24"/>
          <w:lang w:eastAsia="en-US"/>
        </w:rPr>
        <w:t>use</w:t>
      </w:r>
      <w:r>
        <w:rPr>
          <w:rFonts w:ascii="Garamond" w:eastAsiaTheme="minorHAnsi" w:hAnsi="Garamond" w:cs="AdvTT3713a231"/>
          <w:color w:val="131413"/>
          <w:szCs w:val="24"/>
          <w:lang w:eastAsia="en-US"/>
        </w:rPr>
        <w:t>,</w:t>
      </w:r>
      <w:r w:rsidR="000F0A0C">
        <w:rPr>
          <w:rFonts w:ascii="Garamond" w:eastAsiaTheme="minorHAnsi" w:hAnsi="Garamond" w:cs="AdvTT3713a231"/>
          <w:color w:val="131413"/>
          <w:szCs w:val="24"/>
          <w:lang w:eastAsia="en-US"/>
        </w:rPr>
        <w:t xml:space="preserve"> </w:t>
      </w:r>
      <w:r>
        <w:rPr>
          <w:rFonts w:ascii="Garamond" w:eastAsiaTheme="minorHAnsi" w:hAnsi="Garamond" w:cs="AdvTT3713a231"/>
          <w:color w:val="131413"/>
          <w:szCs w:val="24"/>
          <w:lang w:eastAsia="en-US"/>
        </w:rPr>
        <w:t>w</w:t>
      </w:r>
      <w:r w:rsidR="000F0A0C">
        <w:rPr>
          <w:rFonts w:ascii="Garamond" w:eastAsiaTheme="minorHAnsi" w:hAnsi="Garamond" w:cs="AdvTT3713a231"/>
          <w:color w:val="131413"/>
          <w:szCs w:val="24"/>
          <w:lang w:eastAsia="en-US"/>
        </w:rPr>
        <w:t xml:space="preserve">as </w:t>
      </w:r>
      <w:r w:rsidR="006A2E40">
        <w:rPr>
          <w:rFonts w:ascii="Garamond" w:eastAsiaTheme="minorHAnsi" w:hAnsi="Garamond" w:cs="AdvTT3713a231"/>
          <w:color w:val="131413"/>
          <w:szCs w:val="24"/>
          <w:lang w:eastAsia="en-US"/>
        </w:rPr>
        <w:t xml:space="preserve">defined as </w:t>
      </w:r>
      <w:r w:rsidR="000F0A0C">
        <w:rPr>
          <w:rFonts w:ascii="Garamond" w:eastAsiaTheme="minorHAnsi" w:hAnsi="Garamond" w:cs="AdvTT3713a231"/>
          <w:color w:val="131413"/>
          <w:szCs w:val="24"/>
          <w:lang w:eastAsia="en-US"/>
        </w:rPr>
        <w:t xml:space="preserve">the number of children </w:t>
      </w:r>
      <w:r w:rsidR="0026737F">
        <w:rPr>
          <w:rFonts w:ascii="Garamond" w:eastAsiaTheme="minorHAnsi" w:hAnsi="Garamond" w:cs="AdvTT3713a231"/>
          <w:color w:val="131413"/>
          <w:szCs w:val="24"/>
          <w:lang w:eastAsia="en-US"/>
        </w:rPr>
        <w:t>p</w:t>
      </w:r>
      <w:r>
        <w:rPr>
          <w:rFonts w:ascii="Garamond" w:eastAsiaTheme="minorHAnsi" w:hAnsi="Garamond" w:cs="AdvTT3713a231"/>
          <w:color w:val="131413"/>
          <w:szCs w:val="24"/>
          <w:lang w:eastAsia="en-US"/>
        </w:rPr>
        <w:t>er 1,000</w:t>
      </w:r>
      <w:r w:rsidR="0026737F">
        <w:rPr>
          <w:rFonts w:ascii="Garamond" w:eastAsiaTheme="minorHAnsi" w:hAnsi="Garamond" w:cs="AdvTT3713a231"/>
          <w:color w:val="131413"/>
          <w:szCs w:val="24"/>
          <w:lang w:eastAsia="en-US"/>
        </w:rPr>
        <w:t xml:space="preserve"> in the population</w:t>
      </w:r>
      <w:r>
        <w:rPr>
          <w:rFonts w:ascii="Garamond" w:eastAsiaTheme="minorHAnsi" w:hAnsi="Garamond" w:cs="AdvTT3713a231"/>
          <w:color w:val="131413"/>
          <w:szCs w:val="24"/>
          <w:lang w:eastAsia="en-US"/>
        </w:rPr>
        <w:t>,</w:t>
      </w:r>
      <w:r w:rsidR="0026737F">
        <w:rPr>
          <w:rFonts w:ascii="Garamond" w:eastAsiaTheme="minorHAnsi" w:hAnsi="Garamond" w:cs="AdvTT3713a231"/>
          <w:color w:val="131413"/>
          <w:szCs w:val="24"/>
          <w:lang w:eastAsia="en-US"/>
        </w:rPr>
        <w:t xml:space="preserve"> </w:t>
      </w:r>
      <w:r w:rsidR="0078229B">
        <w:rPr>
          <w:rFonts w:ascii="Garamond" w:eastAsiaTheme="minorHAnsi" w:hAnsi="Garamond" w:cs="AdvTT3713a231"/>
          <w:color w:val="131413"/>
          <w:szCs w:val="24"/>
          <w:lang w:eastAsia="en-US"/>
        </w:rPr>
        <w:t>who</w:t>
      </w:r>
      <w:r w:rsidR="00CD6CAA">
        <w:rPr>
          <w:rFonts w:ascii="Garamond" w:eastAsiaTheme="minorHAnsi" w:hAnsi="Garamond" w:cs="AdvTT3713a231"/>
          <w:color w:val="131413"/>
          <w:szCs w:val="24"/>
          <w:lang w:eastAsia="en-US"/>
        </w:rPr>
        <w:t xml:space="preserve"> </w:t>
      </w:r>
      <w:r w:rsidR="0026737F">
        <w:rPr>
          <w:rFonts w:ascii="Garamond" w:eastAsiaTheme="minorHAnsi" w:hAnsi="Garamond" w:cs="AdvTT3713a231"/>
          <w:color w:val="131413"/>
          <w:szCs w:val="24"/>
          <w:lang w:eastAsia="en-US"/>
        </w:rPr>
        <w:t>on a given day</w:t>
      </w:r>
      <w:r>
        <w:rPr>
          <w:rFonts w:ascii="Garamond" w:eastAsiaTheme="minorHAnsi" w:hAnsi="Garamond" w:cs="AdvTT3713a231"/>
          <w:color w:val="131413"/>
          <w:szCs w:val="24"/>
          <w:lang w:eastAsia="en-US"/>
        </w:rPr>
        <w:t xml:space="preserve"> </w:t>
      </w:r>
      <w:r w:rsidR="0026737F">
        <w:rPr>
          <w:rFonts w:ascii="Garamond" w:eastAsiaTheme="minorHAnsi" w:hAnsi="Garamond" w:cs="AdvTT3713a231"/>
          <w:color w:val="131413"/>
          <w:szCs w:val="24"/>
          <w:lang w:eastAsia="en-US"/>
        </w:rPr>
        <w:t xml:space="preserve">either </w:t>
      </w:r>
      <w:r w:rsidR="00CD6CAA">
        <w:rPr>
          <w:rFonts w:ascii="Garamond" w:eastAsiaTheme="minorHAnsi" w:hAnsi="Garamond" w:cs="AdvTT3713a231"/>
          <w:color w:val="131413"/>
          <w:szCs w:val="24"/>
          <w:lang w:eastAsia="en-US"/>
        </w:rPr>
        <w:t xml:space="preserve">filled an SSRI prescription or </w:t>
      </w:r>
      <w:r w:rsidR="0026737F">
        <w:rPr>
          <w:rFonts w:ascii="Garamond" w:eastAsiaTheme="minorHAnsi" w:hAnsi="Garamond" w:cs="AdvTT3713a231"/>
          <w:color w:val="131413"/>
          <w:szCs w:val="24"/>
          <w:lang w:eastAsia="en-US"/>
        </w:rPr>
        <w:t>had pr</w:t>
      </w:r>
      <w:r>
        <w:rPr>
          <w:rFonts w:ascii="Garamond" w:eastAsiaTheme="minorHAnsi" w:hAnsi="Garamond" w:cs="AdvTT3713a231"/>
          <w:color w:val="131413"/>
          <w:szCs w:val="24"/>
          <w:lang w:eastAsia="en-US"/>
        </w:rPr>
        <w:t xml:space="preserve">eviously filled a </w:t>
      </w:r>
      <w:r>
        <w:rPr>
          <w:rFonts w:ascii="Garamond" w:eastAsiaTheme="minorHAnsi" w:hAnsi="Garamond" w:cs="AdvTT3713a231"/>
          <w:color w:val="131413"/>
          <w:szCs w:val="24"/>
          <w:lang w:eastAsia="en-US"/>
        </w:rPr>
        <w:lastRenderedPageBreak/>
        <w:t xml:space="preserve">prescription </w:t>
      </w:r>
      <w:r w:rsidR="006A2E40">
        <w:rPr>
          <w:rFonts w:ascii="Garamond" w:eastAsiaTheme="minorHAnsi" w:hAnsi="Garamond" w:cs="AdvTT3713a231"/>
          <w:color w:val="131413"/>
          <w:szCs w:val="24"/>
          <w:lang w:eastAsia="en-US"/>
        </w:rPr>
        <w:t>with</w:t>
      </w:r>
      <w:r>
        <w:rPr>
          <w:rFonts w:ascii="Garamond" w:eastAsiaTheme="minorHAnsi" w:hAnsi="Garamond" w:cs="AdvTT3713a231"/>
          <w:color w:val="131413"/>
          <w:szCs w:val="24"/>
          <w:lang w:eastAsia="en-US"/>
        </w:rPr>
        <w:t xml:space="preserve"> enough SSRI </w:t>
      </w:r>
      <w:r w:rsidR="006A2E40">
        <w:rPr>
          <w:rFonts w:ascii="Garamond" w:eastAsiaTheme="minorHAnsi" w:hAnsi="Garamond" w:cs="AdvTT3713a231"/>
          <w:color w:val="131413"/>
          <w:szCs w:val="24"/>
          <w:lang w:eastAsia="en-US"/>
        </w:rPr>
        <w:t>doses</w:t>
      </w:r>
      <w:r>
        <w:rPr>
          <w:rFonts w:ascii="Garamond" w:eastAsiaTheme="minorHAnsi" w:hAnsi="Garamond" w:cs="AdvTT3713a231"/>
          <w:color w:val="131413"/>
          <w:szCs w:val="24"/>
          <w:lang w:eastAsia="en-US"/>
        </w:rPr>
        <w:t xml:space="preserve"> to </w:t>
      </w:r>
      <w:r w:rsidR="0026737F">
        <w:rPr>
          <w:rFonts w:ascii="Garamond" w:eastAsiaTheme="minorHAnsi" w:hAnsi="Garamond" w:cs="AdvTT3713a231"/>
          <w:color w:val="131413"/>
          <w:szCs w:val="24"/>
          <w:lang w:eastAsia="en-US"/>
        </w:rPr>
        <w:t xml:space="preserve">cover that day. </w:t>
      </w:r>
      <w:r w:rsidR="006A2E40">
        <w:rPr>
          <w:rFonts w:ascii="Garamond" w:eastAsiaTheme="minorHAnsi" w:hAnsi="Garamond" w:cs="AdvTT3713a231"/>
          <w:color w:val="131413"/>
          <w:szCs w:val="24"/>
          <w:lang w:eastAsia="en-US"/>
        </w:rPr>
        <w:t>W</w:t>
      </w:r>
      <w:r w:rsidR="00D57B43">
        <w:rPr>
          <w:rFonts w:ascii="Garamond" w:eastAsiaTheme="minorHAnsi" w:hAnsi="Garamond" w:cs="AdvTT3713a231"/>
          <w:color w:val="131413"/>
          <w:szCs w:val="24"/>
          <w:lang w:eastAsia="en-US"/>
        </w:rPr>
        <w:t xml:space="preserve">hen estimating whether SSRI doses covered a given day, we assumed one dispensed tablet to be the </w:t>
      </w:r>
      <w:r w:rsidR="006A2E40">
        <w:rPr>
          <w:rFonts w:ascii="Garamond" w:eastAsiaTheme="minorHAnsi" w:hAnsi="Garamond" w:cs="AdvTT3713a231"/>
          <w:color w:val="131413"/>
          <w:szCs w:val="24"/>
          <w:lang w:eastAsia="en-US"/>
        </w:rPr>
        <w:t xml:space="preserve">daily dose and then </w:t>
      </w:r>
      <w:r w:rsidR="000F0A0C" w:rsidRPr="007865FF">
        <w:rPr>
          <w:rFonts w:ascii="Garamond" w:eastAsiaTheme="minorHAnsi" w:hAnsi="Garamond" w:cs="AdvTT3713a231"/>
          <w:color w:val="131413"/>
          <w:szCs w:val="24"/>
          <w:lang w:eastAsia="en-US"/>
        </w:rPr>
        <w:t>add</w:t>
      </w:r>
      <w:r w:rsidR="006A2E40">
        <w:rPr>
          <w:rFonts w:ascii="Garamond" w:eastAsiaTheme="minorHAnsi" w:hAnsi="Garamond" w:cs="AdvTT3713a231"/>
          <w:color w:val="131413"/>
          <w:szCs w:val="24"/>
          <w:lang w:eastAsia="en-US"/>
        </w:rPr>
        <w:t>ed</w:t>
      </w:r>
      <w:r w:rsidR="000F0A0C" w:rsidRPr="007865FF">
        <w:rPr>
          <w:rFonts w:ascii="Garamond" w:eastAsiaTheme="minorHAnsi" w:hAnsi="Garamond" w:cs="AdvTT3713a231"/>
          <w:color w:val="131413"/>
          <w:szCs w:val="24"/>
          <w:lang w:eastAsia="en-US"/>
        </w:rPr>
        <w:t xml:space="preserve"> 20%</w:t>
      </w:r>
      <w:r w:rsidR="00D717A3">
        <w:rPr>
          <w:rFonts w:ascii="Garamond" w:eastAsiaTheme="minorHAnsi" w:hAnsi="Garamond" w:cs="AdvTT3713a231"/>
          <w:color w:val="131413"/>
          <w:szCs w:val="24"/>
          <w:lang w:eastAsia="en-US"/>
        </w:rPr>
        <w:t xml:space="preserve"> to</w:t>
      </w:r>
      <w:r w:rsidR="00D57B43">
        <w:rPr>
          <w:rFonts w:ascii="Garamond" w:eastAsiaTheme="minorHAnsi" w:hAnsi="Garamond" w:cs="AdvTT3713a231"/>
          <w:color w:val="131413"/>
          <w:szCs w:val="24"/>
          <w:lang w:eastAsia="en-US"/>
        </w:rPr>
        <w:t xml:space="preserve"> the dispensed amount to </w:t>
      </w:r>
      <w:r w:rsidR="000F0A0C" w:rsidRPr="007865FF">
        <w:rPr>
          <w:rFonts w:ascii="Garamond" w:eastAsiaTheme="minorHAnsi" w:hAnsi="Garamond" w:cs="AdvTT3713a231"/>
          <w:color w:val="131413"/>
          <w:szCs w:val="24"/>
          <w:lang w:eastAsia="en-US"/>
        </w:rPr>
        <w:t>account for non-compliance and irregular prescription refills.</w:t>
      </w:r>
      <w:r w:rsidR="000F0A0C">
        <w:rPr>
          <w:rFonts w:ascii="Garamond" w:eastAsiaTheme="minorHAnsi" w:hAnsi="Garamond" w:cs="AdvTT3713a231"/>
          <w:color w:val="131413"/>
          <w:szCs w:val="24"/>
          <w:lang w:eastAsia="en-US"/>
        </w:rPr>
        <w:t xml:space="preserve"> Prevalence proportions were calculated by dividing the </w:t>
      </w:r>
      <w:r w:rsidR="004E4EB7">
        <w:rPr>
          <w:rFonts w:ascii="Garamond" w:eastAsiaTheme="minorHAnsi" w:hAnsi="Garamond" w:cs="AdvTT3713a231"/>
          <w:color w:val="131413"/>
          <w:szCs w:val="24"/>
          <w:lang w:eastAsia="en-US"/>
        </w:rPr>
        <w:t>number of current SSRI users</w:t>
      </w:r>
      <w:r w:rsidR="000F0A0C">
        <w:rPr>
          <w:rFonts w:ascii="Garamond" w:eastAsiaTheme="minorHAnsi" w:hAnsi="Garamond" w:cs="AdvTT3713a231"/>
          <w:color w:val="131413"/>
          <w:szCs w:val="24"/>
          <w:lang w:eastAsia="en-US"/>
        </w:rPr>
        <w:t xml:space="preserve"> </w:t>
      </w:r>
      <w:r w:rsidR="00675C62">
        <w:rPr>
          <w:rFonts w:ascii="Garamond" w:eastAsiaTheme="minorHAnsi" w:hAnsi="Garamond" w:cs="AdvTT3713a231"/>
          <w:color w:val="131413"/>
          <w:szCs w:val="24"/>
          <w:lang w:eastAsia="en-US"/>
        </w:rPr>
        <w:t>by the total number of children</w:t>
      </w:r>
      <w:r w:rsidR="001353CB" w:rsidRPr="001353CB">
        <w:rPr>
          <w:rFonts w:ascii="Garamond" w:eastAsiaTheme="minorHAnsi" w:hAnsi="Garamond" w:cs="AdvTT3713a231"/>
          <w:color w:val="131413"/>
          <w:szCs w:val="24"/>
          <w:lang w:eastAsia="en-US"/>
        </w:rPr>
        <w:t xml:space="preserve"> </w:t>
      </w:r>
      <w:r w:rsidR="004E4EB7">
        <w:rPr>
          <w:rFonts w:ascii="Garamond" w:eastAsiaTheme="minorHAnsi" w:hAnsi="Garamond" w:cs="AdvTT3713a231"/>
          <w:color w:val="131413"/>
          <w:szCs w:val="24"/>
          <w:lang w:eastAsia="en-US"/>
        </w:rPr>
        <w:t xml:space="preserve">within each </w:t>
      </w:r>
      <w:r w:rsidR="004E4EB7" w:rsidRPr="007865FF">
        <w:rPr>
          <w:rFonts w:ascii="Garamond" w:eastAsiaTheme="minorHAnsi" w:hAnsi="Garamond" w:cs="AdvTT3713a231"/>
          <w:color w:val="131413"/>
          <w:szCs w:val="24"/>
          <w:lang w:eastAsia="en-US"/>
        </w:rPr>
        <w:t xml:space="preserve">age and gender category </w:t>
      </w:r>
      <w:r w:rsidR="004E4EB7">
        <w:rPr>
          <w:rFonts w:ascii="Garamond" w:eastAsiaTheme="minorHAnsi" w:hAnsi="Garamond" w:cs="AdvTT3713a231"/>
          <w:color w:val="131413"/>
          <w:szCs w:val="24"/>
          <w:lang w:eastAsia="en-US"/>
        </w:rPr>
        <w:t>living in Denmark on January 1 of the relevant year.</w:t>
      </w:r>
      <w:r w:rsidR="001353CB">
        <w:rPr>
          <w:rFonts w:ascii="Garamond" w:eastAsiaTheme="minorHAnsi" w:hAnsi="Garamond" w:cs="AdvTT3713a231"/>
          <w:color w:val="131413"/>
          <w:szCs w:val="24"/>
          <w:lang w:eastAsia="en-US"/>
        </w:rPr>
        <w:t xml:space="preserve"> </w:t>
      </w:r>
      <w:r w:rsidR="007D5D98">
        <w:rPr>
          <w:rFonts w:ascii="Garamond" w:eastAsiaTheme="minorHAnsi" w:hAnsi="Garamond" w:cs="AdvTT3713a231"/>
          <w:color w:val="131413"/>
          <w:szCs w:val="24"/>
          <w:lang w:eastAsia="en-US"/>
        </w:rPr>
        <w:t xml:space="preserve">We further illustrated the age distribution of SSRI use by estimating the point prevalence </w:t>
      </w:r>
      <w:r w:rsidR="0009285A">
        <w:rPr>
          <w:rFonts w:ascii="Garamond" w:eastAsiaTheme="minorHAnsi" w:hAnsi="Garamond" w:cs="AdvTT3713a231"/>
          <w:color w:val="131413"/>
          <w:szCs w:val="24"/>
          <w:lang w:eastAsia="en-US"/>
        </w:rPr>
        <w:t xml:space="preserve">proportion </w:t>
      </w:r>
      <w:r w:rsidR="007D5D98">
        <w:rPr>
          <w:rFonts w:ascii="Garamond" w:eastAsiaTheme="minorHAnsi" w:hAnsi="Garamond" w:cs="AdvTT3713a231"/>
          <w:color w:val="131413"/>
          <w:szCs w:val="24"/>
          <w:lang w:eastAsia="en-US"/>
        </w:rPr>
        <w:t>of use for each age year (as of December 31 2011) among boys and girls.</w:t>
      </w:r>
    </w:p>
    <w:p w:rsidR="00E27D0E" w:rsidRPr="003E05A4" w:rsidRDefault="00E27D0E" w:rsidP="00E27D0E">
      <w:pPr>
        <w:autoSpaceDE w:val="0"/>
        <w:autoSpaceDN w:val="0"/>
        <w:adjustRightInd w:val="0"/>
        <w:spacing w:line="360" w:lineRule="auto"/>
        <w:jc w:val="both"/>
        <w:rPr>
          <w:rFonts w:ascii="Garamond" w:eastAsiaTheme="minorHAnsi" w:hAnsi="Garamond" w:cs="AdvTT3713a231"/>
          <w:color w:val="131413"/>
          <w:szCs w:val="24"/>
          <w:lang w:eastAsia="en-US"/>
        </w:rPr>
      </w:pPr>
      <w:r>
        <w:rPr>
          <w:rFonts w:ascii="Garamond" w:eastAsiaTheme="minorHAnsi" w:hAnsi="Garamond" w:cs="AdvTT3713a231"/>
          <w:color w:val="131413"/>
          <w:szCs w:val="24"/>
          <w:lang w:eastAsia="en-US"/>
        </w:rPr>
        <w:t xml:space="preserve">Lastly, to investigate regional differences in the use of SSRIs, we </w:t>
      </w:r>
      <w:r w:rsidR="007D07A8">
        <w:rPr>
          <w:rFonts w:ascii="Garamond" w:eastAsiaTheme="minorHAnsi" w:hAnsi="Garamond" w:cs="AdvTT3713a231"/>
          <w:color w:val="131413"/>
          <w:szCs w:val="24"/>
          <w:lang w:eastAsia="en-US"/>
        </w:rPr>
        <w:t xml:space="preserve">estimated the average prevalence of SSRI use during 2011 in </w:t>
      </w:r>
      <w:r>
        <w:rPr>
          <w:rFonts w:ascii="Garamond" w:eastAsiaTheme="minorHAnsi" w:hAnsi="Garamond" w:cs="AdvTT3713a231"/>
          <w:color w:val="131413"/>
          <w:szCs w:val="24"/>
          <w:lang w:eastAsia="en-US"/>
        </w:rPr>
        <w:t xml:space="preserve">each of the five Danish </w:t>
      </w:r>
      <w:r w:rsidRPr="003E05A4">
        <w:rPr>
          <w:rFonts w:ascii="Garamond" w:eastAsiaTheme="minorHAnsi" w:hAnsi="Garamond" w:cs="AdvTT3713a231"/>
          <w:color w:val="131413"/>
          <w:szCs w:val="24"/>
          <w:lang w:eastAsia="en-US"/>
        </w:rPr>
        <w:t>region</w:t>
      </w:r>
      <w:r>
        <w:rPr>
          <w:rFonts w:ascii="Garamond" w:eastAsiaTheme="minorHAnsi" w:hAnsi="Garamond" w:cs="AdvTT3713a231"/>
          <w:color w:val="131413"/>
          <w:szCs w:val="24"/>
          <w:lang w:eastAsia="en-US"/>
        </w:rPr>
        <w:t>s (North, Mid, South, Sealand and Capitol)</w:t>
      </w:r>
      <w:r w:rsidR="007D07A8">
        <w:rPr>
          <w:rFonts w:ascii="Garamond" w:eastAsiaTheme="minorHAnsi" w:hAnsi="Garamond" w:cs="AdvTT3713a231"/>
          <w:color w:val="131413"/>
          <w:szCs w:val="24"/>
          <w:lang w:eastAsia="en-US"/>
        </w:rPr>
        <w:t xml:space="preserve"> and compared it to the national average</w:t>
      </w:r>
      <w:r w:rsidR="009A6615">
        <w:rPr>
          <w:rFonts w:ascii="Garamond" w:eastAsiaTheme="minorHAnsi" w:hAnsi="Garamond" w:cs="AdvTT3713a231"/>
          <w:color w:val="131413"/>
          <w:szCs w:val="24"/>
          <w:lang w:eastAsia="en-US"/>
        </w:rPr>
        <w:t xml:space="preserve"> during that</w:t>
      </w:r>
      <w:r w:rsidR="00A15107">
        <w:rPr>
          <w:rFonts w:ascii="Garamond" w:eastAsiaTheme="minorHAnsi" w:hAnsi="Garamond" w:cs="AdvTT3713a231"/>
          <w:color w:val="131413"/>
          <w:szCs w:val="24"/>
          <w:lang w:eastAsia="en-US"/>
        </w:rPr>
        <w:t xml:space="preserve"> same year</w:t>
      </w:r>
      <w:r w:rsidRPr="003E05A4">
        <w:rPr>
          <w:rFonts w:ascii="Garamond" w:eastAsiaTheme="minorHAnsi" w:hAnsi="Garamond" w:cs="AdvTT3713a231"/>
          <w:color w:val="131413"/>
          <w:szCs w:val="24"/>
          <w:lang w:eastAsia="en-US"/>
        </w:rPr>
        <w:t>.</w:t>
      </w:r>
    </w:p>
    <w:p w:rsidR="00416FBB" w:rsidRDefault="00416FBB" w:rsidP="003E05A4">
      <w:pPr>
        <w:spacing w:line="360" w:lineRule="auto"/>
        <w:jc w:val="both"/>
        <w:rPr>
          <w:rFonts w:ascii="Garamond" w:hAnsi="Garamond"/>
          <w:i/>
          <w:szCs w:val="24"/>
        </w:rPr>
      </w:pPr>
    </w:p>
    <w:p w:rsidR="005A08DE" w:rsidRPr="001F07E4" w:rsidRDefault="002F4242" w:rsidP="005A08DE">
      <w:pPr>
        <w:autoSpaceDE w:val="0"/>
        <w:autoSpaceDN w:val="0"/>
        <w:adjustRightInd w:val="0"/>
        <w:spacing w:line="360" w:lineRule="auto"/>
        <w:jc w:val="both"/>
        <w:rPr>
          <w:rFonts w:ascii="Garamond" w:eastAsiaTheme="minorHAnsi" w:hAnsi="Garamond" w:cs="AdvTT50a2f13e.I"/>
          <w:b/>
          <w:i/>
          <w:color w:val="131413"/>
          <w:szCs w:val="24"/>
          <w:lang w:eastAsia="en-US"/>
        </w:rPr>
      </w:pPr>
      <w:r>
        <w:rPr>
          <w:rFonts w:ascii="Garamond" w:eastAsiaTheme="minorHAnsi" w:hAnsi="Garamond" w:cs="AdvTT50a2f13e.I"/>
          <w:i/>
          <w:color w:val="131413"/>
          <w:szCs w:val="24"/>
          <w:lang w:eastAsia="en-US"/>
        </w:rPr>
        <w:t>For h</w:t>
      </w:r>
      <w:r w:rsidR="005A08DE" w:rsidRPr="005A08DE">
        <w:rPr>
          <w:rFonts w:ascii="Garamond" w:eastAsiaTheme="minorHAnsi" w:hAnsi="Garamond" w:cs="AdvTT50a2f13e.I"/>
          <w:i/>
          <w:color w:val="131413"/>
          <w:szCs w:val="24"/>
          <w:lang w:eastAsia="en-US"/>
        </w:rPr>
        <w:t>ow long d</w:t>
      </w:r>
      <w:r>
        <w:rPr>
          <w:rFonts w:ascii="Garamond" w:eastAsiaTheme="minorHAnsi" w:hAnsi="Garamond" w:cs="AdvTT50a2f13e.I"/>
          <w:i/>
          <w:color w:val="131413"/>
          <w:szCs w:val="24"/>
          <w:lang w:eastAsia="en-US"/>
        </w:rPr>
        <w:t>id SSRI use last?</w:t>
      </w:r>
      <w:r w:rsidR="005A08DE" w:rsidRPr="005A08DE">
        <w:rPr>
          <w:rFonts w:ascii="Garamond" w:eastAsiaTheme="minorHAnsi" w:hAnsi="Garamond" w:cs="AdvTT50a2f13e.I"/>
          <w:i/>
          <w:color w:val="131413"/>
          <w:szCs w:val="24"/>
          <w:lang w:eastAsia="en-US"/>
        </w:rPr>
        <w:t xml:space="preserve"> </w:t>
      </w:r>
    </w:p>
    <w:p w:rsidR="005A08DE" w:rsidRPr="005A08DE" w:rsidRDefault="00E43079" w:rsidP="005A08DE">
      <w:pPr>
        <w:autoSpaceDE w:val="0"/>
        <w:autoSpaceDN w:val="0"/>
        <w:adjustRightInd w:val="0"/>
        <w:spacing w:line="360" w:lineRule="auto"/>
        <w:jc w:val="both"/>
        <w:rPr>
          <w:rFonts w:ascii="Garamond" w:eastAsiaTheme="minorHAnsi" w:hAnsi="Garamond" w:cs="AdvTT3713a231"/>
          <w:color w:val="131413"/>
          <w:szCs w:val="24"/>
          <w:lang w:eastAsia="en-US"/>
        </w:rPr>
      </w:pPr>
      <w:r>
        <w:rPr>
          <w:rFonts w:ascii="Garamond" w:eastAsiaTheme="minorHAnsi" w:hAnsi="Garamond" w:cs="AdvTT3713a231"/>
          <w:color w:val="131413"/>
          <w:szCs w:val="24"/>
          <w:lang w:eastAsia="en-US"/>
        </w:rPr>
        <w:t>We produced a</w:t>
      </w:r>
      <w:r w:rsidR="005A08DE" w:rsidRPr="005A08DE">
        <w:rPr>
          <w:rFonts w:ascii="Garamond" w:eastAsiaTheme="minorHAnsi" w:hAnsi="Garamond" w:cs="AdvTT3713a231"/>
          <w:color w:val="131413"/>
          <w:szCs w:val="24"/>
          <w:lang w:eastAsia="en-US"/>
        </w:rPr>
        <w:t xml:space="preserve"> Kaplan</w:t>
      </w:r>
      <w:r w:rsidR="005A08DE" w:rsidRPr="005A08DE">
        <w:rPr>
          <w:rFonts w:ascii="Garamond" w:eastAsiaTheme="minorHAnsi" w:hAnsi="Garamond" w:cs="AdvTT3713a231+20"/>
          <w:color w:val="131413"/>
          <w:szCs w:val="24"/>
          <w:lang w:eastAsia="en-US"/>
        </w:rPr>
        <w:t>–</w:t>
      </w:r>
      <w:r w:rsidR="005A08DE" w:rsidRPr="005A08DE">
        <w:rPr>
          <w:rFonts w:ascii="Garamond" w:eastAsiaTheme="minorHAnsi" w:hAnsi="Garamond" w:cs="AdvTT3713a231"/>
          <w:color w:val="131413"/>
          <w:szCs w:val="24"/>
          <w:lang w:eastAsia="en-US"/>
        </w:rPr>
        <w:t xml:space="preserve">Meyer </w:t>
      </w:r>
      <w:r w:rsidR="005B11DE">
        <w:rPr>
          <w:rFonts w:ascii="Garamond" w:eastAsiaTheme="minorHAnsi" w:hAnsi="Garamond" w:cs="AdvTT3713a231"/>
          <w:color w:val="131413"/>
          <w:szCs w:val="24"/>
          <w:lang w:eastAsia="en-US"/>
        </w:rPr>
        <w:t xml:space="preserve">curve to estimate the duration of SSRI </w:t>
      </w:r>
      <w:r w:rsidR="005A08DE" w:rsidRPr="005A08DE">
        <w:rPr>
          <w:rFonts w:ascii="Garamond" w:eastAsiaTheme="minorHAnsi" w:hAnsi="Garamond" w:cs="AdvTT3713a231"/>
          <w:color w:val="131413"/>
          <w:szCs w:val="24"/>
          <w:lang w:eastAsia="en-US"/>
        </w:rPr>
        <w:t>drug</w:t>
      </w:r>
      <w:r w:rsidR="00DE1A8E">
        <w:rPr>
          <w:rFonts w:ascii="Garamond" w:eastAsiaTheme="minorHAnsi" w:hAnsi="Garamond" w:cs="AdvTT3713a231"/>
          <w:color w:val="131413"/>
          <w:szCs w:val="24"/>
          <w:lang w:eastAsia="en-US"/>
        </w:rPr>
        <w:t xml:space="preserve"> use</w:t>
      </w:r>
      <w:r w:rsidR="005B11DE">
        <w:rPr>
          <w:rFonts w:ascii="Garamond" w:eastAsiaTheme="minorHAnsi" w:hAnsi="Garamond" w:cs="AdvTT3713a231"/>
          <w:color w:val="131413"/>
          <w:szCs w:val="24"/>
          <w:lang w:eastAsia="en-US"/>
        </w:rPr>
        <w:t xml:space="preserve"> among children in Denmark</w:t>
      </w:r>
      <w:r w:rsidR="005A08DE" w:rsidRPr="005A08DE">
        <w:rPr>
          <w:rFonts w:ascii="Garamond" w:eastAsiaTheme="minorHAnsi" w:hAnsi="Garamond" w:cs="AdvTT3713a231"/>
          <w:color w:val="131413"/>
          <w:szCs w:val="24"/>
          <w:lang w:eastAsia="en-US"/>
        </w:rPr>
        <w:t xml:space="preserve">. For each </w:t>
      </w:r>
      <w:r>
        <w:rPr>
          <w:rFonts w:ascii="Garamond" w:eastAsiaTheme="minorHAnsi" w:hAnsi="Garamond" w:cs="AdvTT3713a231"/>
          <w:color w:val="131413"/>
          <w:szCs w:val="24"/>
          <w:lang w:eastAsia="en-US"/>
        </w:rPr>
        <w:t>SSRI user</w:t>
      </w:r>
      <w:r w:rsidR="005A08DE" w:rsidRPr="005A08DE">
        <w:rPr>
          <w:rFonts w:ascii="Garamond" w:eastAsiaTheme="minorHAnsi" w:hAnsi="Garamond" w:cs="AdvTT3713a231"/>
          <w:color w:val="131413"/>
          <w:szCs w:val="24"/>
          <w:lang w:eastAsia="en-US"/>
        </w:rPr>
        <w:t xml:space="preserve">, </w:t>
      </w:r>
      <w:r>
        <w:rPr>
          <w:rFonts w:ascii="Garamond" w:eastAsiaTheme="minorHAnsi" w:hAnsi="Garamond" w:cs="AdvTT3713a231"/>
          <w:color w:val="131413"/>
          <w:szCs w:val="24"/>
          <w:lang w:eastAsia="en-US"/>
        </w:rPr>
        <w:t xml:space="preserve">the </w:t>
      </w:r>
      <w:r w:rsidR="005A08DE" w:rsidRPr="005A08DE">
        <w:rPr>
          <w:rFonts w:ascii="Garamond" w:eastAsiaTheme="minorHAnsi" w:hAnsi="Garamond" w:cs="AdvTT3713a231"/>
          <w:color w:val="131413"/>
          <w:szCs w:val="24"/>
          <w:lang w:eastAsia="en-US"/>
        </w:rPr>
        <w:t xml:space="preserve">duration of treatment was calculated from the day the first prescription was </w:t>
      </w:r>
      <w:r w:rsidR="005B11DE">
        <w:rPr>
          <w:rFonts w:ascii="Garamond" w:eastAsiaTheme="minorHAnsi" w:hAnsi="Garamond" w:cs="AdvTT3713a231"/>
          <w:color w:val="131413"/>
          <w:szCs w:val="24"/>
          <w:lang w:eastAsia="en-US"/>
        </w:rPr>
        <w:t>filled</w:t>
      </w:r>
      <w:r w:rsidR="005A08DE" w:rsidRPr="005A08DE">
        <w:rPr>
          <w:rFonts w:ascii="Garamond" w:eastAsiaTheme="minorHAnsi" w:hAnsi="Garamond" w:cs="AdvTT3713a231"/>
          <w:color w:val="131413"/>
          <w:szCs w:val="24"/>
          <w:lang w:eastAsia="en-US"/>
        </w:rPr>
        <w:t>. Treatment was defined as terminated when 180 days had passed</w:t>
      </w:r>
      <w:r w:rsidR="005A08DE">
        <w:rPr>
          <w:rFonts w:ascii="Garamond" w:eastAsiaTheme="minorHAnsi" w:hAnsi="Garamond" w:cs="AdvTT3713a231"/>
          <w:color w:val="131413"/>
          <w:szCs w:val="24"/>
          <w:lang w:eastAsia="en-US"/>
        </w:rPr>
        <w:t xml:space="preserve"> </w:t>
      </w:r>
      <w:r w:rsidR="005A08DE" w:rsidRPr="005A08DE">
        <w:rPr>
          <w:rFonts w:ascii="Garamond" w:eastAsiaTheme="minorHAnsi" w:hAnsi="Garamond" w:cs="AdvTT3713a231"/>
          <w:color w:val="131413"/>
          <w:szCs w:val="24"/>
          <w:lang w:eastAsia="en-US"/>
        </w:rPr>
        <w:t>without the individual fil</w:t>
      </w:r>
      <w:r w:rsidR="009C7CD6">
        <w:rPr>
          <w:rFonts w:ascii="Garamond" w:eastAsiaTheme="minorHAnsi" w:hAnsi="Garamond" w:cs="AdvTT3713a231"/>
          <w:color w:val="131413"/>
          <w:szCs w:val="24"/>
          <w:lang w:eastAsia="en-US"/>
        </w:rPr>
        <w:t>l</w:t>
      </w:r>
      <w:r w:rsidR="005A08DE" w:rsidRPr="005A08DE">
        <w:rPr>
          <w:rFonts w:ascii="Garamond" w:eastAsiaTheme="minorHAnsi" w:hAnsi="Garamond" w:cs="AdvTT3713a231"/>
          <w:color w:val="131413"/>
          <w:szCs w:val="24"/>
          <w:lang w:eastAsia="en-US"/>
        </w:rPr>
        <w:t xml:space="preserve">ing a prescription for any SSRI drug. The long interval allowed between prescriptions was chosen to avoid false termination of </w:t>
      </w:r>
      <w:r w:rsidR="006E6398">
        <w:rPr>
          <w:rFonts w:ascii="Garamond" w:eastAsiaTheme="minorHAnsi" w:hAnsi="Garamond" w:cs="AdvTT3713a231"/>
          <w:color w:val="131413"/>
          <w:szCs w:val="24"/>
          <w:lang w:eastAsia="en-US"/>
        </w:rPr>
        <w:t>use among children</w:t>
      </w:r>
      <w:r w:rsidR="005A08DE" w:rsidRPr="005A08DE">
        <w:rPr>
          <w:rFonts w:ascii="Garamond" w:eastAsiaTheme="minorHAnsi" w:hAnsi="Garamond" w:cs="AdvTT3713a231"/>
          <w:color w:val="131413"/>
          <w:szCs w:val="24"/>
          <w:lang w:eastAsia="en-US"/>
        </w:rPr>
        <w:t xml:space="preserve"> who had long </w:t>
      </w:r>
      <w:r w:rsidR="00F96038">
        <w:rPr>
          <w:rFonts w:ascii="Garamond" w:eastAsiaTheme="minorHAnsi" w:hAnsi="Garamond" w:cs="AdvTT3713a231"/>
          <w:color w:val="131413"/>
          <w:szCs w:val="24"/>
          <w:lang w:eastAsia="en-US"/>
        </w:rPr>
        <w:t>pauses</w:t>
      </w:r>
      <w:r w:rsidR="005A08DE" w:rsidRPr="005A08DE">
        <w:rPr>
          <w:rFonts w:ascii="Garamond" w:eastAsiaTheme="minorHAnsi" w:hAnsi="Garamond" w:cs="AdvTT3713a231"/>
          <w:color w:val="131413"/>
          <w:szCs w:val="24"/>
          <w:lang w:eastAsia="en-US"/>
        </w:rPr>
        <w:t xml:space="preserve"> between prescriptions.</w:t>
      </w:r>
      <w:r w:rsidR="006E6398">
        <w:rPr>
          <w:rFonts w:ascii="Garamond" w:eastAsiaTheme="minorHAnsi" w:hAnsi="Garamond" w:cs="AdvTT3713a231"/>
          <w:color w:val="131413"/>
          <w:szCs w:val="24"/>
          <w:lang w:eastAsia="en-US"/>
        </w:rPr>
        <w:t xml:space="preserve"> Children</w:t>
      </w:r>
      <w:r w:rsidR="005A08DE" w:rsidRPr="005A08DE">
        <w:rPr>
          <w:rFonts w:ascii="Garamond" w:eastAsiaTheme="minorHAnsi" w:hAnsi="Garamond" w:cs="AdvTT3713a231"/>
          <w:color w:val="131413"/>
          <w:szCs w:val="24"/>
          <w:lang w:eastAsia="en-US"/>
        </w:rPr>
        <w:t xml:space="preserve"> were excluded from this analysis if th</w:t>
      </w:r>
      <w:r w:rsidR="006E6398">
        <w:rPr>
          <w:rFonts w:ascii="Garamond" w:eastAsiaTheme="minorHAnsi" w:hAnsi="Garamond" w:cs="AdvTT3713a231"/>
          <w:color w:val="131413"/>
          <w:szCs w:val="24"/>
          <w:lang w:eastAsia="en-US"/>
        </w:rPr>
        <w:t>eir</w:t>
      </w:r>
      <w:r w:rsidR="005A08DE" w:rsidRPr="005A08DE">
        <w:rPr>
          <w:rFonts w:ascii="Garamond" w:eastAsiaTheme="minorHAnsi" w:hAnsi="Garamond" w:cs="AdvTT3713a231"/>
          <w:color w:val="131413"/>
          <w:szCs w:val="24"/>
          <w:lang w:eastAsia="en-US"/>
        </w:rPr>
        <w:t xml:space="preserve"> treatment episode was initiated in the first half of 1995 (i.e. the first 180 days of our dataset) to ensure that the correct starting date was assigned. </w:t>
      </w:r>
      <w:r w:rsidR="006E6398">
        <w:rPr>
          <w:rFonts w:ascii="Garamond" w:eastAsiaTheme="minorHAnsi" w:hAnsi="Garamond" w:cs="AdvTT3713a231"/>
          <w:color w:val="131413"/>
          <w:szCs w:val="24"/>
          <w:lang w:eastAsia="en-US"/>
        </w:rPr>
        <w:t>In this analysis children</w:t>
      </w:r>
      <w:r w:rsidR="005A08DE" w:rsidRPr="005A08DE">
        <w:rPr>
          <w:rFonts w:ascii="Garamond" w:eastAsiaTheme="minorHAnsi" w:hAnsi="Garamond" w:cs="AdvTT3713a231"/>
          <w:color w:val="131413"/>
          <w:szCs w:val="24"/>
          <w:lang w:eastAsia="en-US"/>
        </w:rPr>
        <w:t xml:space="preserve"> were censored upon </w:t>
      </w:r>
      <w:r w:rsidR="006E6398">
        <w:rPr>
          <w:rFonts w:ascii="Garamond" w:eastAsiaTheme="minorHAnsi" w:hAnsi="Garamond" w:cs="AdvTT3713a231"/>
          <w:color w:val="131413"/>
          <w:szCs w:val="24"/>
          <w:lang w:eastAsia="en-US"/>
        </w:rPr>
        <w:t xml:space="preserve">the time they </w:t>
      </w:r>
      <w:r w:rsidR="005A08DE">
        <w:rPr>
          <w:rFonts w:ascii="Garamond" w:eastAsiaTheme="minorHAnsi" w:hAnsi="Garamond" w:cs="AdvTT3713a231"/>
          <w:color w:val="131413"/>
          <w:szCs w:val="24"/>
          <w:lang w:eastAsia="en-US"/>
        </w:rPr>
        <w:t>turn</w:t>
      </w:r>
      <w:r w:rsidR="006E6398">
        <w:rPr>
          <w:rFonts w:ascii="Garamond" w:eastAsiaTheme="minorHAnsi" w:hAnsi="Garamond" w:cs="AdvTT3713a231"/>
          <w:color w:val="131413"/>
          <w:szCs w:val="24"/>
          <w:lang w:eastAsia="en-US"/>
        </w:rPr>
        <w:t>ed</w:t>
      </w:r>
      <w:r w:rsidR="005A08DE">
        <w:rPr>
          <w:rFonts w:ascii="Garamond" w:eastAsiaTheme="minorHAnsi" w:hAnsi="Garamond" w:cs="AdvTT3713a231"/>
          <w:color w:val="131413"/>
          <w:szCs w:val="24"/>
          <w:lang w:eastAsia="en-US"/>
        </w:rPr>
        <w:t xml:space="preserve"> 18, d</w:t>
      </w:r>
      <w:r w:rsidR="006E6398">
        <w:rPr>
          <w:rFonts w:ascii="Garamond" w:eastAsiaTheme="minorHAnsi" w:hAnsi="Garamond" w:cs="AdvTT3713a231"/>
          <w:color w:val="131413"/>
          <w:szCs w:val="24"/>
          <w:lang w:eastAsia="en-US"/>
        </w:rPr>
        <w:t>ied</w:t>
      </w:r>
      <w:r w:rsidR="009A6615">
        <w:rPr>
          <w:rFonts w:ascii="Garamond" w:eastAsiaTheme="minorHAnsi" w:hAnsi="Garamond" w:cs="AdvTT3713a231"/>
          <w:color w:val="131413"/>
          <w:szCs w:val="24"/>
          <w:lang w:eastAsia="en-US"/>
        </w:rPr>
        <w:t>,</w:t>
      </w:r>
      <w:r w:rsidR="005A08DE">
        <w:rPr>
          <w:rFonts w:ascii="Garamond" w:eastAsiaTheme="minorHAnsi" w:hAnsi="Garamond" w:cs="AdvTT3713a231"/>
          <w:color w:val="131413"/>
          <w:szCs w:val="24"/>
          <w:lang w:eastAsia="en-US"/>
        </w:rPr>
        <w:t xml:space="preserve"> or </w:t>
      </w:r>
      <w:r w:rsidR="006E6398">
        <w:rPr>
          <w:rFonts w:ascii="Garamond" w:eastAsiaTheme="minorHAnsi" w:hAnsi="Garamond" w:cs="AdvTT3713a231"/>
          <w:color w:val="131413"/>
          <w:szCs w:val="24"/>
          <w:lang w:eastAsia="en-US"/>
        </w:rPr>
        <w:t xml:space="preserve">at the end of </w:t>
      </w:r>
      <w:r w:rsidR="005A08DE" w:rsidRPr="005A08DE">
        <w:rPr>
          <w:rFonts w:ascii="Garamond" w:eastAsiaTheme="minorHAnsi" w:hAnsi="Garamond" w:cs="AdvTT3713a231"/>
          <w:color w:val="131413"/>
          <w:szCs w:val="24"/>
          <w:lang w:eastAsia="en-US"/>
        </w:rPr>
        <w:t xml:space="preserve">the study period (31 December 2011). Only the first treatment episode of each </w:t>
      </w:r>
      <w:r w:rsidR="006E6398">
        <w:rPr>
          <w:rFonts w:ascii="Garamond" w:eastAsiaTheme="minorHAnsi" w:hAnsi="Garamond" w:cs="AdvTT3713a231"/>
          <w:color w:val="131413"/>
          <w:szCs w:val="24"/>
          <w:lang w:eastAsia="en-US"/>
        </w:rPr>
        <w:t>child</w:t>
      </w:r>
      <w:r w:rsidR="005A08DE" w:rsidRPr="005A08DE">
        <w:rPr>
          <w:rFonts w:ascii="Garamond" w:eastAsiaTheme="minorHAnsi" w:hAnsi="Garamond" w:cs="AdvTT3713a231"/>
          <w:color w:val="131413"/>
          <w:szCs w:val="24"/>
          <w:lang w:eastAsia="en-US"/>
        </w:rPr>
        <w:t xml:space="preserve"> was included</w:t>
      </w:r>
      <w:r w:rsidR="006E6398">
        <w:rPr>
          <w:rFonts w:ascii="Garamond" w:eastAsiaTheme="minorHAnsi" w:hAnsi="Garamond" w:cs="AdvTT3713a231"/>
          <w:color w:val="131413"/>
          <w:szCs w:val="24"/>
          <w:lang w:eastAsia="en-US"/>
        </w:rPr>
        <w:t xml:space="preserve"> in the survival analysis</w:t>
      </w:r>
      <w:r w:rsidR="005A08DE" w:rsidRPr="005A08DE">
        <w:rPr>
          <w:rFonts w:ascii="Garamond" w:eastAsiaTheme="minorHAnsi" w:hAnsi="Garamond" w:cs="AdvTT3713a231"/>
          <w:color w:val="131413"/>
          <w:szCs w:val="24"/>
          <w:lang w:eastAsia="en-US"/>
        </w:rPr>
        <w:t xml:space="preserve">. </w:t>
      </w:r>
      <w:r w:rsidR="00DE1A8E">
        <w:rPr>
          <w:rFonts w:ascii="Garamond" w:eastAsiaTheme="minorHAnsi" w:hAnsi="Garamond" w:cs="AdvTT3713a231"/>
          <w:color w:val="131413"/>
          <w:szCs w:val="24"/>
          <w:lang w:eastAsia="en-US"/>
        </w:rPr>
        <w:t xml:space="preserve">When specifying by age category we used </w:t>
      </w:r>
      <w:r w:rsidR="005A08DE" w:rsidRPr="005A08DE">
        <w:rPr>
          <w:rFonts w:ascii="Garamond" w:eastAsiaTheme="minorHAnsi" w:hAnsi="Garamond" w:cs="AdvTT3713a231"/>
          <w:color w:val="131413"/>
          <w:szCs w:val="24"/>
          <w:lang w:eastAsia="en-US"/>
        </w:rPr>
        <w:t xml:space="preserve">the age at the </w:t>
      </w:r>
      <w:r w:rsidR="00DE1A8E">
        <w:rPr>
          <w:rFonts w:ascii="Garamond" w:eastAsiaTheme="minorHAnsi" w:hAnsi="Garamond" w:cs="AdvTT3713a231"/>
          <w:color w:val="131413"/>
          <w:szCs w:val="24"/>
          <w:lang w:eastAsia="en-US"/>
        </w:rPr>
        <w:t>time of the first prescription.</w:t>
      </w:r>
      <w:r w:rsidR="005A08DE" w:rsidRPr="005A08DE">
        <w:rPr>
          <w:rFonts w:ascii="Garamond" w:eastAsiaTheme="minorHAnsi" w:hAnsi="Garamond" w:cs="AdvTT3713a231"/>
          <w:color w:val="131413"/>
          <w:szCs w:val="24"/>
          <w:lang w:eastAsia="en-US"/>
        </w:rPr>
        <w:t xml:space="preserve"> </w:t>
      </w:r>
      <w:r w:rsidR="006E6398">
        <w:rPr>
          <w:rFonts w:ascii="Garamond" w:eastAsiaTheme="minorHAnsi" w:hAnsi="Garamond" w:cs="AdvTT3713a231"/>
          <w:color w:val="131413"/>
          <w:szCs w:val="24"/>
          <w:lang w:eastAsia="en-US"/>
        </w:rPr>
        <w:t>We further conducted a</w:t>
      </w:r>
      <w:r w:rsidR="005A08DE" w:rsidRPr="005A08DE">
        <w:rPr>
          <w:rFonts w:ascii="Garamond" w:eastAsiaTheme="minorHAnsi" w:hAnsi="Garamond" w:cs="AdvTT3713a231"/>
          <w:color w:val="131413"/>
          <w:szCs w:val="24"/>
          <w:lang w:eastAsia="en-US"/>
        </w:rPr>
        <w:t xml:space="preserve"> sensitivity analysis </w:t>
      </w:r>
      <w:r w:rsidR="006E6398">
        <w:rPr>
          <w:rFonts w:ascii="Garamond" w:eastAsiaTheme="minorHAnsi" w:hAnsi="Garamond" w:cs="AdvTT3713a231"/>
          <w:color w:val="131413"/>
          <w:szCs w:val="24"/>
          <w:lang w:eastAsia="en-US"/>
        </w:rPr>
        <w:t xml:space="preserve">to test whether </w:t>
      </w:r>
      <w:r w:rsidR="005A08DE" w:rsidRPr="005A08DE">
        <w:rPr>
          <w:rFonts w:ascii="Garamond" w:eastAsiaTheme="minorHAnsi" w:hAnsi="Garamond" w:cs="AdvTT3713a231"/>
          <w:color w:val="131413"/>
          <w:szCs w:val="24"/>
          <w:lang w:eastAsia="en-US"/>
        </w:rPr>
        <w:t xml:space="preserve">extending the interval allowed between </w:t>
      </w:r>
      <w:r w:rsidR="006E6398">
        <w:rPr>
          <w:rFonts w:ascii="Garamond" w:eastAsiaTheme="minorHAnsi" w:hAnsi="Garamond" w:cs="AdvTT3713a231"/>
          <w:color w:val="131413"/>
          <w:szCs w:val="24"/>
          <w:lang w:eastAsia="en-US"/>
        </w:rPr>
        <w:t xml:space="preserve">SSRI </w:t>
      </w:r>
      <w:r w:rsidR="005A08DE" w:rsidRPr="005A08DE">
        <w:rPr>
          <w:rFonts w:ascii="Garamond" w:eastAsiaTheme="minorHAnsi" w:hAnsi="Garamond" w:cs="AdvTT3713a231"/>
          <w:color w:val="131413"/>
          <w:szCs w:val="24"/>
          <w:lang w:eastAsia="en-US"/>
        </w:rPr>
        <w:t>prescription fill</w:t>
      </w:r>
      <w:r w:rsidR="006E6398">
        <w:rPr>
          <w:rFonts w:ascii="Garamond" w:eastAsiaTheme="minorHAnsi" w:hAnsi="Garamond" w:cs="AdvTT3713a231"/>
          <w:color w:val="131413"/>
          <w:szCs w:val="24"/>
          <w:lang w:eastAsia="en-US"/>
        </w:rPr>
        <w:t xml:space="preserve">s from 180 </w:t>
      </w:r>
      <w:r w:rsidR="005A08DE" w:rsidRPr="005A08DE">
        <w:rPr>
          <w:rFonts w:ascii="Garamond" w:eastAsiaTheme="minorHAnsi" w:hAnsi="Garamond" w:cs="AdvTT3713a231"/>
          <w:color w:val="131413"/>
          <w:szCs w:val="24"/>
          <w:lang w:eastAsia="en-US"/>
        </w:rPr>
        <w:t>to 365 days</w:t>
      </w:r>
      <w:r w:rsidR="006E6398">
        <w:rPr>
          <w:rFonts w:ascii="Garamond" w:eastAsiaTheme="minorHAnsi" w:hAnsi="Garamond" w:cs="AdvTT3713a231"/>
          <w:color w:val="131413"/>
          <w:szCs w:val="24"/>
          <w:lang w:eastAsia="en-US"/>
        </w:rPr>
        <w:t xml:space="preserve"> would alter our results on treatment duration.</w:t>
      </w:r>
    </w:p>
    <w:p w:rsidR="005A08DE" w:rsidRPr="00D20F66" w:rsidRDefault="005A08DE" w:rsidP="00D20F66">
      <w:pPr>
        <w:autoSpaceDE w:val="0"/>
        <w:autoSpaceDN w:val="0"/>
        <w:adjustRightInd w:val="0"/>
        <w:spacing w:line="360" w:lineRule="auto"/>
        <w:jc w:val="both"/>
        <w:rPr>
          <w:rFonts w:ascii="Garamond" w:hAnsi="Garamond"/>
          <w:i/>
          <w:szCs w:val="24"/>
        </w:rPr>
      </w:pPr>
    </w:p>
    <w:p w:rsidR="008815B7" w:rsidRPr="00D20F66" w:rsidRDefault="00DE1A8E" w:rsidP="00D20F66">
      <w:pPr>
        <w:spacing w:line="360" w:lineRule="auto"/>
        <w:jc w:val="both"/>
        <w:rPr>
          <w:rFonts w:ascii="Garamond" w:hAnsi="Garamond"/>
          <w:i/>
          <w:szCs w:val="24"/>
        </w:rPr>
      </w:pPr>
      <w:r>
        <w:rPr>
          <w:rFonts w:ascii="Garamond" w:hAnsi="Garamond"/>
          <w:i/>
          <w:szCs w:val="24"/>
        </w:rPr>
        <w:t>To what extent did children use other nervous system drugs</w:t>
      </w:r>
      <w:r w:rsidR="005A08DE" w:rsidRPr="00D20F66">
        <w:rPr>
          <w:rFonts w:ascii="Garamond" w:hAnsi="Garamond"/>
          <w:i/>
          <w:szCs w:val="24"/>
        </w:rPr>
        <w:t xml:space="preserve"> </w:t>
      </w:r>
      <w:r w:rsidR="006E6398">
        <w:rPr>
          <w:rFonts w:ascii="Garamond" w:hAnsi="Garamond"/>
          <w:i/>
          <w:szCs w:val="24"/>
        </w:rPr>
        <w:t>concurrently with SSRI drugs</w:t>
      </w:r>
      <w:r w:rsidR="0035206B">
        <w:rPr>
          <w:rFonts w:ascii="Garamond" w:hAnsi="Garamond"/>
          <w:i/>
          <w:szCs w:val="24"/>
        </w:rPr>
        <w:t xml:space="preserve">? </w:t>
      </w:r>
    </w:p>
    <w:p w:rsidR="005A08DE" w:rsidRPr="00D20F66" w:rsidRDefault="00152022" w:rsidP="00D20F66">
      <w:pPr>
        <w:autoSpaceDE w:val="0"/>
        <w:autoSpaceDN w:val="0"/>
        <w:adjustRightInd w:val="0"/>
        <w:spacing w:line="360" w:lineRule="auto"/>
        <w:jc w:val="both"/>
        <w:rPr>
          <w:rFonts w:ascii="Garamond" w:hAnsi="Garamond"/>
          <w:i/>
          <w:szCs w:val="24"/>
        </w:rPr>
      </w:pPr>
      <w:r>
        <w:rPr>
          <w:rFonts w:ascii="Garamond" w:eastAsiaTheme="minorHAnsi" w:hAnsi="Garamond" w:cs="AdvTT3713a231"/>
          <w:color w:val="131413"/>
          <w:szCs w:val="24"/>
          <w:lang w:eastAsia="en-US"/>
        </w:rPr>
        <w:t xml:space="preserve">We assessed concurrent use </w:t>
      </w:r>
      <w:r w:rsidR="005A08DE" w:rsidRPr="00D20F66">
        <w:rPr>
          <w:rFonts w:ascii="Garamond" w:eastAsiaTheme="minorHAnsi" w:hAnsi="Garamond" w:cs="AdvTT3713a231"/>
          <w:color w:val="131413"/>
          <w:szCs w:val="24"/>
          <w:lang w:eastAsia="en-US"/>
        </w:rPr>
        <w:t xml:space="preserve">of </w:t>
      </w:r>
      <w:r w:rsidR="00D20F66">
        <w:rPr>
          <w:rFonts w:ascii="Garamond" w:eastAsiaTheme="minorHAnsi" w:hAnsi="Garamond" w:cs="AdvTT3713a231"/>
          <w:color w:val="131413"/>
          <w:szCs w:val="24"/>
          <w:lang w:eastAsia="en-US"/>
        </w:rPr>
        <w:t>SSRI</w:t>
      </w:r>
      <w:r w:rsidR="005A08DE" w:rsidRPr="00D20F66">
        <w:rPr>
          <w:rFonts w:ascii="Garamond" w:eastAsiaTheme="minorHAnsi" w:hAnsi="Garamond" w:cs="AdvTT3713a231"/>
          <w:color w:val="131413"/>
          <w:szCs w:val="24"/>
          <w:lang w:eastAsia="en-US"/>
        </w:rPr>
        <w:t xml:space="preserve"> drug </w:t>
      </w:r>
      <w:r>
        <w:rPr>
          <w:rFonts w:ascii="Garamond" w:eastAsiaTheme="minorHAnsi" w:hAnsi="Garamond" w:cs="AdvTT3713a231"/>
          <w:color w:val="131413"/>
          <w:szCs w:val="24"/>
          <w:lang w:eastAsia="en-US"/>
        </w:rPr>
        <w:t xml:space="preserve">and </w:t>
      </w:r>
      <w:r w:rsidR="005A08DE" w:rsidRPr="00D20F66">
        <w:rPr>
          <w:rFonts w:ascii="Garamond" w:eastAsiaTheme="minorHAnsi" w:hAnsi="Garamond" w:cs="AdvTT3713a231"/>
          <w:color w:val="131413"/>
          <w:szCs w:val="24"/>
          <w:lang w:eastAsia="en-US"/>
        </w:rPr>
        <w:t xml:space="preserve">other nervous system drugs (ATC-group N) </w:t>
      </w:r>
      <w:r w:rsidR="00045095">
        <w:rPr>
          <w:rFonts w:ascii="Garamond" w:eastAsiaTheme="minorHAnsi" w:hAnsi="Garamond" w:cs="AdvTT3713a231"/>
          <w:color w:val="131413"/>
          <w:szCs w:val="24"/>
          <w:lang w:eastAsia="en-US"/>
        </w:rPr>
        <w:t xml:space="preserve">among children in Denmark </w:t>
      </w:r>
      <w:r>
        <w:rPr>
          <w:rFonts w:ascii="Garamond" w:eastAsiaTheme="minorHAnsi" w:hAnsi="Garamond" w:cs="AdvTT3713a231"/>
          <w:color w:val="131413"/>
          <w:szCs w:val="24"/>
          <w:lang w:eastAsia="en-US"/>
        </w:rPr>
        <w:t xml:space="preserve">in 2011 by examining filled prescriptions </w:t>
      </w:r>
      <w:r w:rsidR="00F96038">
        <w:rPr>
          <w:rFonts w:ascii="Garamond" w:eastAsiaTheme="minorHAnsi" w:hAnsi="Garamond" w:cs="AdvTT3713a231"/>
          <w:color w:val="131413"/>
          <w:szCs w:val="24"/>
          <w:lang w:eastAsia="en-US"/>
        </w:rPr>
        <w:t>for nervous system drugs</w:t>
      </w:r>
      <w:r w:rsidR="00791FCE">
        <w:rPr>
          <w:rFonts w:ascii="Garamond" w:eastAsiaTheme="minorHAnsi" w:hAnsi="Garamond" w:cs="AdvTT3713a231"/>
          <w:color w:val="131413"/>
          <w:szCs w:val="24"/>
          <w:lang w:eastAsia="en-US"/>
        </w:rPr>
        <w:t>, gro</w:t>
      </w:r>
      <w:r w:rsidR="00F96038">
        <w:rPr>
          <w:rFonts w:ascii="Garamond" w:eastAsiaTheme="minorHAnsi" w:hAnsi="Garamond" w:cs="AdvTT3713a231"/>
          <w:color w:val="131413"/>
          <w:szCs w:val="24"/>
          <w:lang w:eastAsia="en-US"/>
        </w:rPr>
        <w:t>u</w:t>
      </w:r>
      <w:r w:rsidR="00791FCE">
        <w:rPr>
          <w:rFonts w:ascii="Garamond" w:eastAsiaTheme="minorHAnsi" w:hAnsi="Garamond" w:cs="AdvTT3713a231"/>
          <w:color w:val="131413"/>
          <w:szCs w:val="24"/>
          <w:lang w:eastAsia="en-US"/>
        </w:rPr>
        <w:t>p</w:t>
      </w:r>
      <w:r w:rsidR="00F96038">
        <w:rPr>
          <w:rFonts w:ascii="Garamond" w:eastAsiaTheme="minorHAnsi" w:hAnsi="Garamond" w:cs="AdvTT3713a231"/>
          <w:color w:val="131413"/>
          <w:szCs w:val="24"/>
          <w:lang w:eastAsia="en-US"/>
        </w:rPr>
        <w:t>ed</w:t>
      </w:r>
      <w:r w:rsidR="00791FCE">
        <w:rPr>
          <w:rFonts w:ascii="Garamond" w:eastAsiaTheme="minorHAnsi" w:hAnsi="Garamond" w:cs="AdvTT3713a231"/>
          <w:color w:val="131413"/>
          <w:szCs w:val="24"/>
          <w:lang w:eastAsia="en-US"/>
        </w:rPr>
        <w:t xml:space="preserve"> </w:t>
      </w:r>
      <w:r w:rsidR="00045095">
        <w:rPr>
          <w:rFonts w:ascii="Garamond" w:eastAsiaTheme="minorHAnsi" w:hAnsi="Garamond" w:cs="AdvTT3713a231"/>
          <w:color w:val="131413"/>
          <w:szCs w:val="24"/>
          <w:lang w:eastAsia="en-US"/>
        </w:rPr>
        <w:t>down to</w:t>
      </w:r>
      <w:r w:rsidR="00F96038">
        <w:rPr>
          <w:rFonts w:ascii="Garamond" w:eastAsiaTheme="minorHAnsi" w:hAnsi="Garamond" w:cs="AdvTT3713a231"/>
          <w:color w:val="131413"/>
          <w:szCs w:val="24"/>
          <w:lang w:eastAsia="en-US"/>
        </w:rPr>
        <w:t xml:space="preserve"> the </w:t>
      </w:r>
      <w:r w:rsidR="005A08DE" w:rsidRPr="00D20F66">
        <w:rPr>
          <w:rFonts w:ascii="Garamond" w:eastAsiaTheme="minorHAnsi" w:hAnsi="Garamond" w:cs="AdvTT3713a231"/>
          <w:color w:val="131413"/>
          <w:szCs w:val="24"/>
          <w:lang w:eastAsia="en-US"/>
        </w:rPr>
        <w:t xml:space="preserve">third </w:t>
      </w:r>
      <w:r w:rsidR="00F96038">
        <w:rPr>
          <w:rFonts w:ascii="Garamond" w:eastAsiaTheme="minorHAnsi" w:hAnsi="Garamond" w:cs="AdvTT3713a231"/>
          <w:color w:val="131413"/>
          <w:szCs w:val="24"/>
          <w:lang w:eastAsia="en-US"/>
        </w:rPr>
        <w:t>ATC-</w:t>
      </w:r>
      <w:r w:rsidR="005A08DE" w:rsidRPr="00D20F66">
        <w:rPr>
          <w:rFonts w:ascii="Garamond" w:eastAsiaTheme="minorHAnsi" w:hAnsi="Garamond" w:cs="AdvTT3713a231"/>
          <w:color w:val="131413"/>
          <w:szCs w:val="24"/>
          <w:lang w:eastAsia="en-US"/>
        </w:rPr>
        <w:t>level (e.g. N07B, psychostimulants)</w:t>
      </w:r>
      <w:r w:rsidR="00045095">
        <w:rPr>
          <w:rFonts w:ascii="Garamond" w:eastAsiaTheme="minorHAnsi" w:hAnsi="Garamond" w:cs="AdvTT3713a231"/>
          <w:color w:val="131413"/>
          <w:szCs w:val="24"/>
          <w:lang w:eastAsia="en-US"/>
        </w:rPr>
        <w:t>.</w:t>
      </w:r>
      <w:r w:rsidR="00DA62D3">
        <w:rPr>
          <w:rFonts w:ascii="Garamond" w:eastAsiaTheme="minorHAnsi" w:hAnsi="Garamond" w:cs="AdvTT3713a231"/>
          <w:color w:val="131413"/>
          <w:szCs w:val="24"/>
          <w:lang w:eastAsia="en-US"/>
        </w:rPr>
        <w:t xml:space="preserve"> </w:t>
      </w:r>
      <w:r w:rsidR="005A08DE" w:rsidRPr="00D20F66">
        <w:rPr>
          <w:rFonts w:ascii="Garamond" w:eastAsiaTheme="minorHAnsi" w:hAnsi="Garamond" w:cs="AdvTT3713a231"/>
          <w:color w:val="131413"/>
          <w:szCs w:val="24"/>
          <w:lang w:eastAsia="en-US"/>
        </w:rPr>
        <w:t xml:space="preserve">We calculated the percentage of </w:t>
      </w:r>
      <w:r w:rsidR="00045095">
        <w:rPr>
          <w:rFonts w:ascii="Garamond" w:eastAsiaTheme="minorHAnsi" w:hAnsi="Garamond" w:cs="AdvTT3713a231"/>
          <w:color w:val="131413"/>
          <w:szCs w:val="24"/>
          <w:lang w:eastAsia="en-US"/>
        </w:rPr>
        <w:t xml:space="preserve">prevalent </w:t>
      </w:r>
      <w:r w:rsidR="005A08DE" w:rsidRPr="00D20F66">
        <w:rPr>
          <w:rFonts w:ascii="Garamond" w:eastAsiaTheme="minorHAnsi" w:hAnsi="Garamond" w:cs="AdvTT3713a231"/>
          <w:color w:val="131413"/>
          <w:szCs w:val="24"/>
          <w:lang w:eastAsia="en-US"/>
        </w:rPr>
        <w:t xml:space="preserve">SSRI users </w:t>
      </w:r>
      <w:r w:rsidR="00045095">
        <w:rPr>
          <w:rFonts w:ascii="Garamond" w:eastAsiaTheme="minorHAnsi" w:hAnsi="Garamond" w:cs="AdvTT3713a231"/>
          <w:color w:val="131413"/>
          <w:szCs w:val="24"/>
          <w:lang w:eastAsia="en-US"/>
        </w:rPr>
        <w:t xml:space="preserve">in 2011 </w:t>
      </w:r>
      <w:proofErr w:type="gramStart"/>
      <w:r w:rsidR="00045095">
        <w:rPr>
          <w:rFonts w:ascii="Garamond" w:eastAsiaTheme="minorHAnsi" w:hAnsi="Garamond" w:cs="AdvTT3713a231"/>
          <w:color w:val="131413"/>
          <w:szCs w:val="24"/>
          <w:lang w:eastAsia="en-US"/>
        </w:rPr>
        <w:t>who</w:t>
      </w:r>
      <w:proofErr w:type="gramEnd"/>
      <w:r w:rsidR="00045095">
        <w:rPr>
          <w:rFonts w:ascii="Garamond" w:eastAsiaTheme="minorHAnsi" w:hAnsi="Garamond" w:cs="AdvTT3713a231"/>
          <w:color w:val="131413"/>
          <w:szCs w:val="24"/>
          <w:lang w:eastAsia="en-US"/>
        </w:rPr>
        <w:t xml:space="preserve"> in that year also filled a prescription for another nervous system drug. We further calculated </w:t>
      </w:r>
      <w:r w:rsidR="005A08DE" w:rsidRPr="00D20F66">
        <w:rPr>
          <w:rFonts w:ascii="Garamond" w:eastAsiaTheme="minorHAnsi" w:hAnsi="Garamond" w:cs="AdvTT3713a231"/>
          <w:color w:val="131413"/>
          <w:szCs w:val="24"/>
          <w:lang w:eastAsia="en-US"/>
        </w:rPr>
        <w:t xml:space="preserve">standardized morbidity rates (SMRs), i.e. the ratio between the actual </w:t>
      </w:r>
      <w:r w:rsidR="0009285A">
        <w:rPr>
          <w:rFonts w:ascii="Garamond" w:eastAsiaTheme="minorHAnsi" w:hAnsi="Garamond" w:cs="AdvTT3713a231"/>
          <w:color w:val="131413"/>
          <w:szCs w:val="24"/>
          <w:lang w:eastAsia="en-US"/>
        </w:rPr>
        <w:t xml:space="preserve">concurrent </w:t>
      </w:r>
      <w:r w:rsidR="005A08DE" w:rsidRPr="00D20F66">
        <w:rPr>
          <w:rFonts w:ascii="Garamond" w:eastAsiaTheme="minorHAnsi" w:hAnsi="Garamond" w:cs="AdvTT3713a231"/>
          <w:color w:val="131413"/>
          <w:szCs w:val="24"/>
          <w:lang w:eastAsia="en-US"/>
        </w:rPr>
        <w:t xml:space="preserve">drug use in the SSRI cohort and the expected </w:t>
      </w:r>
      <w:r w:rsidR="0009285A">
        <w:rPr>
          <w:rFonts w:ascii="Garamond" w:eastAsiaTheme="minorHAnsi" w:hAnsi="Garamond" w:cs="AdvTT3713a231"/>
          <w:color w:val="131413"/>
          <w:szCs w:val="24"/>
          <w:lang w:eastAsia="en-US"/>
        </w:rPr>
        <w:t xml:space="preserve">concurrent </w:t>
      </w:r>
      <w:r w:rsidR="005A08DE" w:rsidRPr="00D20F66">
        <w:rPr>
          <w:rFonts w:ascii="Garamond" w:eastAsiaTheme="minorHAnsi" w:hAnsi="Garamond" w:cs="AdvTT3713a231"/>
          <w:color w:val="131413"/>
          <w:szCs w:val="24"/>
          <w:lang w:eastAsia="en-US"/>
        </w:rPr>
        <w:t xml:space="preserve">drug use in the SSRI cohort if they had the same use pattern as the background population, standardized by sex and age in 1-year intervals. </w:t>
      </w:r>
    </w:p>
    <w:p w:rsidR="008815B7" w:rsidRPr="005A08DE" w:rsidRDefault="008815B7" w:rsidP="00544F3D">
      <w:pPr>
        <w:spacing w:line="360" w:lineRule="auto"/>
        <w:jc w:val="both"/>
        <w:rPr>
          <w:rFonts w:ascii="Garamond" w:hAnsi="Garamond"/>
          <w:b/>
          <w:szCs w:val="24"/>
        </w:rPr>
      </w:pPr>
    </w:p>
    <w:p w:rsidR="004965D8" w:rsidRDefault="008A0F04" w:rsidP="00544F3D">
      <w:pPr>
        <w:spacing w:line="360" w:lineRule="auto"/>
        <w:jc w:val="both"/>
        <w:rPr>
          <w:rFonts w:ascii="Garamond" w:eastAsia="Calibri" w:hAnsi="Garamond"/>
          <w:b/>
          <w:szCs w:val="24"/>
        </w:rPr>
      </w:pPr>
      <w:r w:rsidRPr="00544F3D">
        <w:rPr>
          <w:rFonts w:ascii="Garamond" w:hAnsi="Garamond"/>
          <w:b/>
          <w:szCs w:val="24"/>
          <w:lang w:val="en-GB"/>
        </w:rPr>
        <w:t>Other</w:t>
      </w:r>
    </w:p>
    <w:p w:rsidR="00544F3D" w:rsidRPr="00083B3A" w:rsidRDefault="00544F3D" w:rsidP="00544F3D">
      <w:pPr>
        <w:spacing w:line="360" w:lineRule="auto"/>
        <w:jc w:val="both"/>
        <w:rPr>
          <w:rFonts w:ascii="Garamond" w:eastAsia="Calibri" w:hAnsi="Garamond"/>
          <w:szCs w:val="24"/>
        </w:rPr>
      </w:pPr>
      <w:r>
        <w:rPr>
          <w:rFonts w:ascii="Garamond" w:eastAsia="Calibri" w:hAnsi="Garamond"/>
          <w:szCs w:val="24"/>
        </w:rPr>
        <w:t>All calculations were performed using STATA Release 12.0 (</w:t>
      </w:r>
      <w:proofErr w:type="spellStart"/>
      <w:r>
        <w:rPr>
          <w:rFonts w:ascii="Garamond" w:eastAsia="Calibri" w:hAnsi="Garamond"/>
          <w:szCs w:val="24"/>
        </w:rPr>
        <w:t>StataCorp</w:t>
      </w:r>
      <w:proofErr w:type="spellEnd"/>
      <w:r>
        <w:rPr>
          <w:rFonts w:ascii="Garamond" w:eastAsia="Calibri" w:hAnsi="Garamond"/>
          <w:szCs w:val="24"/>
        </w:rPr>
        <w:t xml:space="preserve">, College Station, TX, USA). The study was approved by the Danish Data Protection Agency and Statistics Denmark’s Scientific Board. </w:t>
      </w:r>
      <w:r w:rsidRPr="00083B3A">
        <w:rPr>
          <w:rFonts w:ascii="Garamond" w:eastAsia="Calibri" w:hAnsi="Garamond"/>
          <w:szCs w:val="24"/>
        </w:rPr>
        <w:t>Approval from the Ethics Committee was not required.</w:t>
      </w:r>
    </w:p>
    <w:p w:rsidR="00E81A44" w:rsidRDefault="00E81A44">
      <w:pPr>
        <w:spacing w:after="200" w:line="276" w:lineRule="auto"/>
        <w:rPr>
          <w:rFonts w:ascii="Garamond" w:hAnsi="Garamond" w:cs="Calibri"/>
        </w:rPr>
      </w:pPr>
    </w:p>
    <w:p w:rsidR="00E81A44" w:rsidRDefault="00E81A44" w:rsidP="005E522C">
      <w:pPr>
        <w:spacing w:after="200" w:line="360" w:lineRule="auto"/>
        <w:jc w:val="both"/>
        <w:rPr>
          <w:rFonts w:ascii="Garamond" w:hAnsi="Garamond" w:cs="Calibri"/>
        </w:rPr>
      </w:pPr>
    </w:p>
    <w:p w:rsidR="00E81A44" w:rsidRPr="002F79AB" w:rsidRDefault="00E81A44" w:rsidP="005E522C">
      <w:pPr>
        <w:spacing w:line="360" w:lineRule="auto"/>
        <w:jc w:val="both"/>
        <w:rPr>
          <w:rFonts w:ascii="Garamond" w:hAnsi="Garamond"/>
          <w:b/>
          <w:sz w:val="28"/>
          <w:szCs w:val="28"/>
        </w:rPr>
      </w:pPr>
      <w:r>
        <w:rPr>
          <w:rFonts w:ascii="Garamond" w:hAnsi="Garamond"/>
          <w:b/>
          <w:sz w:val="28"/>
          <w:szCs w:val="28"/>
        </w:rPr>
        <w:t>Results</w:t>
      </w:r>
    </w:p>
    <w:p w:rsidR="0096108B" w:rsidRDefault="005E522C" w:rsidP="005E522C">
      <w:pPr>
        <w:spacing w:after="200" w:line="360" w:lineRule="auto"/>
        <w:jc w:val="both"/>
        <w:rPr>
          <w:rFonts w:ascii="Garamond" w:hAnsi="Garamond" w:cs="Calibri"/>
        </w:rPr>
      </w:pPr>
      <w:r>
        <w:rPr>
          <w:rFonts w:ascii="Garamond" w:hAnsi="Garamond" w:cs="Calibri"/>
        </w:rPr>
        <w:t xml:space="preserve">We identified a total </w:t>
      </w:r>
      <w:r w:rsidR="00576E31">
        <w:rPr>
          <w:rFonts w:ascii="Garamond" w:hAnsi="Garamond" w:cs="Calibri"/>
        </w:rPr>
        <w:t>xx</w:t>
      </w:r>
      <w:r>
        <w:rPr>
          <w:rFonts w:ascii="Garamond" w:hAnsi="Garamond" w:cs="Calibri"/>
        </w:rPr>
        <w:t xml:space="preserve"> children </w:t>
      </w:r>
      <w:r w:rsidR="002F4C22">
        <w:rPr>
          <w:rFonts w:ascii="Garamond" w:hAnsi="Garamond" w:cs="Calibri"/>
        </w:rPr>
        <w:t xml:space="preserve">aged 5-17 </w:t>
      </w:r>
      <w:r>
        <w:rPr>
          <w:rFonts w:ascii="Garamond" w:hAnsi="Garamond" w:cs="Calibri"/>
        </w:rPr>
        <w:t xml:space="preserve">using SSRIs during our study period (1995-2011), filling a total of </w:t>
      </w:r>
      <w:r w:rsidR="00576E31">
        <w:rPr>
          <w:rFonts w:ascii="Garamond" w:hAnsi="Garamond" w:cs="Calibri"/>
        </w:rPr>
        <w:t>xx</w:t>
      </w:r>
      <w:r>
        <w:rPr>
          <w:rFonts w:ascii="Garamond" w:hAnsi="Garamond" w:cs="Calibri"/>
        </w:rPr>
        <w:t xml:space="preserve"> prescriptions</w:t>
      </w:r>
      <w:r w:rsidR="002F4C22">
        <w:rPr>
          <w:rFonts w:ascii="Garamond" w:hAnsi="Garamond" w:cs="Calibri"/>
        </w:rPr>
        <w:t xml:space="preserve"> for SSRIs</w:t>
      </w:r>
      <w:r>
        <w:rPr>
          <w:rFonts w:ascii="Garamond" w:hAnsi="Garamond" w:cs="Calibri"/>
        </w:rPr>
        <w:t xml:space="preserve">. The most used drug over the entire period was </w:t>
      </w:r>
      <w:r w:rsidR="00EB545C">
        <w:rPr>
          <w:rFonts w:ascii="Garamond" w:hAnsi="Garamond" w:cs="Calibri"/>
        </w:rPr>
        <w:t xml:space="preserve">sertraline </w:t>
      </w:r>
      <w:r>
        <w:rPr>
          <w:rFonts w:ascii="Garamond" w:hAnsi="Garamond" w:cs="Calibri"/>
        </w:rPr>
        <w:t>(</w:t>
      </w:r>
      <w:r w:rsidR="00576E31">
        <w:rPr>
          <w:rFonts w:ascii="Garamond" w:hAnsi="Garamond" w:cs="Calibri"/>
        </w:rPr>
        <w:t xml:space="preserve">xx </w:t>
      </w:r>
      <w:r>
        <w:rPr>
          <w:rFonts w:ascii="Garamond" w:hAnsi="Garamond" w:cs="Calibri"/>
        </w:rPr>
        <w:t xml:space="preserve">fillings), followed by </w:t>
      </w:r>
      <w:r w:rsidR="00EB545C">
        <w:rPr>
          <w:rFonts w:ascii="Garamond" w:hAnsi="Garamond" w:cs="Calibri"/>
        </w:rPr>
        <w:t xml:space="preserve">citalopram </w:t>
      </w:r>
      <w:r>
        <w:rPr>
          <w:rFonts w:ascii="Garamond" w:hAnsi="Garamond" w:cs="Calibri"/>
        </w:rPr>
        <w:t>(</w:t>
      </w:r>
      <w:r w:rsidR="00576E31">
        <w:rPr>
          <w:rFonts w:ascii="Garamond" w:hAnsi="Garamond" w:cs="Calibri"/>
        </w:rPr>
        <w:t>xx</w:t>
      </w:r>
      <w:r>
        <w:rPr>
          <w:rFonts w:ascii="Garamond" w:hAnsi="Garamond" w:cs="Calibri"/>
        </w:rPr>
        <w:t xml:space="preserve"> f</w:t>
      </w:r>
      <w:r w:rsidR="0096108B">
        <w:rPr>
          <w:rFonts w:ascii="Garamond" w:hAnsi="Garamond" w:cs="Calibri"/>
        </w:rPr>
        <w:t>illings).</w:t>
      </w:r>
      <w:r>
        <w:rPr>
          <w:rFonts w:ascii="Garamond" w:hAnsi="Garamond" w:cs="Calibri"/>
        </w:rPr>
        <w:t xml:space="preserve"> In 2011, the most used drug in </w:t>
      </w:r>
      <w:r w:rsidR="00BA3202">
        <w:rPr>
          <w:rFonts w:ascii="Garamond" w:hAnsi="Garamond" w:cs="Calibri"/>
        </w:rPr>
        <w:t xml:space="preserve">all </w:t>
      </w:r>
      <w:r>
        <w:rPr>
          <w:rFonts w:ascii="Garamond" w:hAnsi="Garamond" w:cs="Calibri"/>
        </w:rPr>
        <w:t xml:space="preserve">age and gender categories was sertraline, followed by citalopram (table 2). </w:t>
      </w:r>
    </w:p>
    <w:p w:rsidR="005B6301" w:rsidRDefault="0096108B" w:rsidP="005B6301">
      <w:pPr>
        <w:spacing w:after="200" w:line="360" w:lineRule="auto"/>
        <w:jc w:val="both"/>
        <w:rPr>
          <w:rFonts w:ascii="Garamond" w:hAnsi="Garamond" w:cs="Calibri"/>
        </w:rPr>
      </w:pPr>
      <w:r>
        <w:rPr>
          <w:rFonts w:ascii="Garamond" w:hAnsi="Garamond" w:cs="Calibri"/>
        </w:rPr>
        <w:t xml:space="preserve">The highest incidence </w:t>
      </w:r>
      <w:r w:rsidR="005B6301">
        <w:rPr>
          <w:rFonts w:ascii="Garamond" w:hAnsi="Garamond" w:cs="Calibri"/>
        </w:rPr>
        <w:t xml:space="preserve">and prevalence proportion </w:t>
      </w:r>
      <w:r>
        <w:rPr>
          <w:rFonts w:ascii="Garamond" w:hAnsi="Garamond" w:cs="Calibri"/>
        </w:rPr>
        <w:t>of SSRI use was seen among girls aged 1</w:t>
      </w:r>
      <w:r w:rsidR="0009285A">
        <w:rPr>
          <w:rFonts w:ascii="Garamond" w:hAnsi="Garamond" w:cs="Calibri"/>
        </w:rPr>
        <w:t>2</w:t>
      </w:r>
      <w:r>
        <w:rPr>
          <w:rFonts w:ascii="Garamond" w:hAnsi="Garamond" w:cs="Calibri"/>
        </w:rPr>
        <w:t xml:space="preserve">-17. [Description of changes in incidence </w:t>
      </w:r>
      <w:r w:rsidR="005B6301">
        <w:rPr>
          <w:rFonts w:ascii="Garamond" w:hAnsi="Garamond" w:cs="Calibri"/>
        </w:rPr>
        <w:t xml:space="preserve">proportions </w:t>
      </w:r>
      <w:r>
        <w:rPr>
          <w:rFonts w:ascii="Garamond" w:hAnsi="Garamond" w:cs="Calibri"/>
        </w:rPr>
        <w:t xml:space="preserve">during study period].  </w:t>
      </w:r>
      <w:r w:rsidR="005B6301">
        <w:rPr>
          <w:rFonts w:ascii="Garamond" w:hAnsi="Garamond" w:cs="Calibri"/>
        </w:rPr>
        <w:t>Annual incidence proportions</w:t>
      </w:r>
      <w:r>
        <w:rPr>
          <w:rFonts w:ascii="Garamond" w:hAnsi="Garamond" w:cs="Calibri"/>
        </w:rPr>
        <w:t xml:space="preserve"> for </w:t>
      </w:r>
      <w:r w:rsidR="005B6301">
        <w:rPr>
          <w:rFonts w:ascii="Garamond" w:hAnsi="Garamond" w:cs="Calibri"/>
        </w:rPr>
        <w:t xml:space="preserve">both age groups and genders </w:t>
      </w:r>
      <w:r>
        <w:rPr>
          <w:rFonts w:ascii="Garamond" w:hAnsi="Garamond" w:cs="Calibri"/>
        </w:rPr>
        <w:t>are shown in figure</w:t>
      </w:r>
      <w:r w:rsidR="00D05DCF">
        <w:rPr>
          <w:rFonts w:ascii="Garamond" w:hAnsi="Garamond" w:cs="Calibri"/>
        </w:rPr>
        <w:t xml:space="preserve"> 1</w:t>
      </w:r>
      <w:r>
        <w:rPr>
          <w:rFonts w:ascii="Garamond" w:hAnsi="Garamond" w:cs="Calibri"/>
        </w:rPr>
        <w:t xml:space="preserve">. </w:t>
      </w:r>
      <w:r w:rsidR="005B6301">
        <w:rPr>
          <w:rFonts w:ascii="Garamond" w:hAnsi="Garamond" w:cs="Calibri"/>
        </w:rPr>
        <w:t>[Description of changes in choice of first-line treatment based on drug-specific incidence proportions]. [Description of changes in prevalence proportion during study period] (</w:t>
      </w:r>
      <w:proofErr w:type="gramStart"/>
      <w:r w:rsidR="005B6301">
        <w:rPr>
          <w:rFonts w:ascii="Garamond" w:hAnsi="Garamond" w:cs="Calibri"/>
        </w:rPr>
        <w:t>figure</w:t>
      </w:r>
      <w:proofErr w:type="gramEnd"/>
      <w:r w:rsidR="005B6301">
        <w:rPr>
          <w:rFonts w:ascii="Garamond" w:hAnsi="Garamond" w:cs="Calibri"/>
        </w:rPr>
        <w:t xml:space="preserve"> 2). The full age and gender spectrum of prevalent children in 2011 is shown in figure 3. When stratifying by region we found […]. The </w:t>
      </w:r>
      <w:r w:rsidR="009C7CD6">
        <w:rPr>
          <w:rFonts w:ascii="Garamond" w:hAnsi="Garamond" w:cs="Calibri"/>
        </w:rPr>
        <w:t>use pattern specified by region</w:t>
      </w:r>
      <w:r w:rsidR="005B6301">
        <w:rPr>
          <w:rFonts w:ascii="Garamond" w:hAnsi="Garamond" w:cs="Calibri"/>
        </w:rPr>
        <w:t xml:space="preserve"> is shown in table 3. </w:t>
      </w:r>
    </w:p>
    <w:p w:rsidR="00FB6B00" w:rsidRDefault="00FB6B00" w:rsidP="005E522C">
      <w:pPr>
        <w:spacing w:after="200" w:line="360" w:lineRule="auto"/>
        <w:jc w:val="both"/>
        <w:rPr>
          <w:rFonts w:ascii="Garamond" w:hAnsi="Garamond" w:cs="Calibri"/>
        </w:rPr>
      </w:pPr>
      <w:r>
        <w:rPr>
          <w:rFonts w:ascii="Garamond" w:hAnsi="Garamond" w:cs="Calibri"/>
        </w:rPr>
        <w:t xml:space="preserve">[Description of the </w:t>
      </w:r>
      <w:proofErr w:type="spellStart"/>
      <w:r>
        <w:rPr>
          <w:rFonts w:ascii="Garamond" w:hAnsi="Garamond" w:cs="Calibri"/>
        </w:rPr>
        <w:t>kaplan</w:t>
      </w:r>
      <w:proofErr w:type="spellEnd"/>
      <w:r>
        <w:rPr>
          <w:rFonts w:ascii="Garamond" w:hAnsi="Garamond" w:cs="Calibri"/>
        </w:rPr>
        <w:t>-</w:t>
      </w:r>
      <w:proofErr w:type="spellStart"/>
      <w:r>
        <w:rPr>
          <w:rFonts w:ascii="Garamond" w:hAnsi="Garamond" w:cs="Calibri"/>
        </w:rPr>
        <w:t>meier</w:t>
      </w:r>
      <w:proofErr w:type="spellEnd"/>
      <w:r>
        <w:rPr>
          <w:rFonts w:ascii="Garamond" w:hAnsi="Garamond" w:cs="Calibri"/>
        </w:rPr>
        <w:t>-plot] (</w:t>
      </w:r>
      <w:proofErr w:type="gramStart"/>
      <w:r>
        <w:rPr>
          <w:rFonts w:ascii="Garamond" w:hAnsi="Garamond" w:cs="Calibri"/>
        </w:rPr>
        <w:t>figure</w:t>
      </w:r>
      <w:proofErr w:type="gramEnd"/>
      <w:r>
        <w:rPr>
          <w:rFonts w:ascii="Garamond" w:hAnsi="Garamond" w:cs="Calibri"/>
        </w:rPr>
        <w:t xml:space="preserve"> 4). When allowing 365 days between prescriptions we saw that [...].</w:t>
      </w:r>
    </w:p>
    <w:p w:rsidR="000A15F5" w:rsidRPr="00FB6B00" w:rsidRDefault="00FB6B00" w:rsidP="005E522C">
      <w:pPr>
        <w:spacing w:after="200" w:line="360" w:lineRule="auto"/>
        <w:jc w:val="both"/>
        <w:rPr>
          <w:rFonts w:ascii="Garamond" w:hAnsi="Garamond" w:cs="Calibri"/>
        </w:rPr>
      </w:pPr>
      <w:r w:rsidRPr="00FB6B00">
        <w:rPr>
          <w:rFonts w:ascii="Garamond" w:hAnsi="Garamond" w:cs="Calibri"/>
        </w:rPr>
        <w:t>[Description of th</w:t>
      </w:r>
      <w:r>
        <w:rPr>
          <w:rFonts w:ascii="Garamond" w:hAnsi="Garamond" w:cs="Calibri"/>
        </w:rPr>
        <w:t>e co-med-analysis] (</w:t>
      </w:r>
      <w:proofErr w:type="gramStart"/>
      <w:r>
        <w:rPr>
          <w:rFonts w:ascii="Garamond" w:hAnsi="Garamond" w:cs="Calibri"/>
        </w:rPr>
        <w:t>table</w:t>
      </w:r>
      <w:proofErr w:type="gramEnd"/>
      <w:r>
        <w:rPr>
          <w:rFonts w:ascii="Garamond" w:hAnsi="Garamond" w:cs="Calibri"/>
        </w:rPr>
        <w:t xml:space="preserve"> 4).</w:t>
      </w:r>
      <w:r w:rsidR="000A15F5" w:rsidRPr="00FB6B00">
        <w:rPr>
          <w:rFonts w:ascii="Garamond" w:hAnsi="Garamond" w:cs="Calibri"/>
        </w:rPr>
        <w:br w:type="page"/>
      </w:r>
    </w:p>
    <w:p w:rsidR="000A15F5" w:rsidRPr="000A15F5" w:rsidRDefault="000A15F5" w:rsidP="000A15F5">
      <w:pPr>
        <w:spacing w:line="360" w:lineRule="auto"/>
        <w:jc w:val="both"/>
        <w:rPr>
          <w:rFonts w:ascii="Garamond" w:eastAsia="Calibri" w:hAnsi="Garamond"/>
          <w:b/>
          <w:sz w:val="28"/>
          <w:szCs w:val="28"/>
        </w:rPr>
      </w:pPr>
      <w:r>
        <w:rPr>
          <w:rFonts w:ascii="Garamond" w:hAnsi="Garamond"/>
          <w:b/>
          <w:sz w:val="28"/>
          <w:szCs w:val="28"/>
          <w:lang w:val="en-GB"/>
        </w:rPr>
        <w:lastRenderedPageBreak/>
        <w:t>Tables</w:t>
      </w:r>
    </w:p>
    <w:p w:rsidR="000A15F5" w:rsidRDefault="000A15F5" w:rsidP="00544F3D">
      <w:pPr>
        <w:spacing w:line="360" w:lineRule="auto"/>
        <w:rPr>
          <w:rFonts w:ascii="Garamond" w:hAnsi="Garamond" w:cs="Calibri"/>
          <w:b/>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1275"/>
        <w:gridCol w:w="1418"/>
        <w:gridCol w:w="3260"/>
      </w:tblGrid>
      <w:tr w:rsidR="000A15F5" w:rsidTr="005406AF">
        <w:tc>
          <w:tcPr>
            <w:tcW w:w="7621" w:type="dxa"/>
            <w:gridSpan w:val="4"/>
            <w:tcBorders>
              <w:bottom w:val="single" w:sz="4" w:space="0" w:color="auto"/>
            </w:tcBorders>
            <w:vAlign w:val="center"/>
          </w:tcPr>
          <w:p w:rsidR="000A15F5" w:rsidRPr="000A15F5" w:rsidRDefault="000A15F5" w:rsidP="000A15F5">
            <w:pPr>
              <w:rPr>
                <w:rFonts w:ascii="Garamond" w:hAnsi="Garamond" w:cs="Calibri"/>
                <w:szCs w:val="24"/>
              </w:rPr>
            </w:pPr>
            <w:r w:rsidRPr="000A15F5">
              <w:rPr>
                <w:rFonts w:ascii="Garamond" w:hAnsi="Garamond" w:cs="Calibri"/>
                <w:b/>
                <w:szCs w:val="24"/>
              </w:rPr>
              <w:t>Table 1</w:t>
            </w:r>
            <w:r w:rsidR="0009285A">
              <w:rPr>
                <w:rFonts w:ascii="Garamond" w:hAnsi="Garamond" w:cs="Calibri"/>
                <w:b/>
                <w:szCs w:val="24"/>
              </w:rPr>
              <w:t>:</w:t>
            </w:r>
            <w:r w:rsidR="0009285A">
              <w:rPr>
                <w:rFonts w:ascii="Garamond" w:hAnsi="Garamond" w:cs="Calibri"/>
                <w:szCs w:val="24"/>
              </w:rPr>
              <w:t xml:space="preserve"> SSRIs</w:t>
            </w:r>
            <w:r w:rsidR="0009285A" w:rsidRPr="000A15F5">
              <w:rPr>
                <w:rFonts w:ascii="Garamond" w:hAnsi="Garamond" w:cs="Calibri"/>
                <w:szCs w:val="24"/>
              </w:rPr>
              <w:t xml:space="preserve"> </w:t>
            </w:r>
            <w:r w:rsidR="0009285A">
              <w:rPr>
                <w:rFonts w:ascii="Garamond" w:hAnsi="Garamond" w:cs="Calibri"/>
                <w:szCs w:val="24"/>
              </w:rPr>
              <w:t>with marketing authorization</w:t>
            </w:r>
            <w:r w:rsidR="0009285A" w:rsidRPr="000A15F5">
              <w:rPr>
                <w:rFonts w:ascii="Garamond" w:hAnsi="Garamond" w:cs="Calibri"/>
                <w:szCs w:val="24"/>
              </w:rPr>
              <w:t xml:space="preserve"> in Denmark</w:t>
            </w:r>
          </w:p>
        </w:tc>
      </w:tr>
      <w:tr w:rsidR="000A15F5" w:rsidTr="005406AF">
        <w:tc>
          <w:tcPr>
            <w:tcW w:w="1668" w:type="dxa"/>
            <w:tcBorders>
              <w:top w:val="single" w:sz="4" w:space="0" w:color="auto"/>
              <w:bottom w:val="single" w:sz="4" w:space="0" w:color="auto"/>
            </w:tcBorders>
            <w:vAlign w:val="center"/>
          </w:tcPr>
          <w:p w:rsidR="000A15F5" w:rsidRPr="000A15F5" w:rsidRDefault="000A15F5" w:rsidP="000A15F5">
            <w:pPr>
              <w:spacing w:before="120" w:after="120"/>
              <w:rPr>
                <w:rFonts w:ascii="Garamond" w:hAnsi="Garamond" w:cs="Calibri"/>
                <w:b/>
              </w:rPr>
            </w:pPr>
            <w:r w:rsidRPr="000A15F5">
              <w:rPr>
                <w:rFonts w:ascii="Garamond" w:hAnsi="Garamond" w:cs="Calibri"/>
                <w:b/>
              </w:rPr>
              <w:t>Drug</w:t>
            </w:r>
          </w:p>
        </w:tc>
        <w:tc>
          <w:tcPr>
            <w:tcW w:w="1275" w:type="dxa"/>
            <w:tcBorders>
              <w:top w:val="single" w:sz="4" w:space="0" w:color="auto"/>
              <w:bottom w:val="single" w:sz="4" w:space="0" w:color="auto"/>
            </w:tcBorders>
            <w:vAlign w:val="center"/>
          </w:tcPr>
          <w:p w:rsidR="000A15F5" w:rsidRPr="000A15F5" w:rsidRDefault="000A15F5" w:rsidP="000A15F5">
            <w:pPr>
              <w:spacing w:before="120" w:after="120"/>
              <w:rPr>
                <w:rFonts w:ascii="Garamond" w:hAnsi="Garamond" w:cs="Calibri"/>
                <w:b/>
              </w:rPr>
            </w:pPr>
            <w:r w:rsidRPr="000A15F5">
              <w:rPr>
                <w:rFonts w:ascii="Garamond" w:hAnsi="Garamond" w:cs="Calibri"/>
                <w:b/>
              </w:rPr>
              <w:t>ATC</w:t>
            </w:r>
            <w:r w:rsidR="00EA5FA8">
              <w:rPr>
                <w:rFonts w:ascii="Garamond" w:hAnsi="Garamond" w:cs="Calibri"/>
                <w:b/>
              </w:rPr>
              <w:t xml:space="preserve"> Class</w:t>
            </w:r>
          </w:p>
        </w:tc>
        <w:tc>
          <w:tcPr>
            <w:tcW w:w="1418" w:type="dxa"/>
            <w:tcBorders>
              <w:top w:val="single" w:sz="4" w:space="0" w:color="auto"/>
              <w:bottom w:val="single" w:sz="4" w:space="0" w:color="auto"/>
            </w:tcBorders>
            <w:vAlign w:val="center"/>
          </w:tcPr>
          <w:p w:rsidR="000A15F5" w:rsidRPr="000A15F5" w:rsidRDefault="000A15F5" w:rsidP="000A15F5">
            <w:pPr>
              <w:spacing w:before="120" w:after="120"/>
              <w:jc w:val="center"/>
              <w:rPr>
                <w:rFonts w:ascii="Garamond" w:hAnsi="Garamond" w:cs="Calibri"/>
                <w:b/>
              </w:rPr>
            </w:pPr>
            <w:r w:rsidRPr="000A15F5">
              <w:rPr>
                <w:rFonts w:ascii="Garamond" w:hAnsi="Garamond" w:cs="Calibri"/>
                <w:b/>
              </w:rPr>
              <w:t>DDD</w:t>
            </w:r>
            <w:r>
              <w:rPr>
                <w:rFonts w:ascii="Garamond" w:hAnsi="Garamond" w:cs="Calibri"/>
                <w:b/>
              </w:rPr>
              <w:t xml:space="preserve"> </w:t>
            </w:r>
            <w:r>
              <w:rPr>
                <w:rFonts w:ascii="Garamond" w:hAnsi="Garamond" w:cs="Calibri"/>
                <w:b/>
              </w:rPr>
              <w:br/>
              <w:t>(mg)</w:t>
            </w:r>
          </w:p>
        </w:tc>
        <w:tc>
          <w:tcPr>
            <w:tcW w:w="3260" w:type="dxa"/>
            <w:tcBorders>
              <w:top w:val="single" w:sz="4" w:space="0" w:color="auto"/>
              <w:bottom w:val="single" w:sz="4" w:space="0" w:color="auto"/>
            </w:tcBorders>
            <w:vAlign w:val="center"/>
          </w:tcPr>
          <w:p w:rsidR="000A15F5" w:rsidRPr="000A15F5" w:rsidRDefault="0009285A" w:rsidP="000A15F5">
            <w:pPr>
              <w:spacing w:before="120" w:after="120"/>
              <w:rPr>
                <w:rFonts w:ascii="Garamond" w:hAnsi="Garamond" w:cs="Calibri"/>
                <w:b/>
              </w:rPr>
            </w:pPr>
            <w:r>
              <w:rPr>
                <w:rFonts w:ascii="Garamond" w:hAnsi="Garamond" w:cs="Calibri"/>
                <w:b/>
              </w:rPr>
              <w:t>Marketed pediatric</w:t>
            </w:r>
            <w:r w:rsidR="000A15F5" w:rsidRPr="000A15F5">
              <w:rPr>
                <w:rFonts w:ascii="Garamond" w:hAnsi="Garamond" w:cs="Calibri"/>
                <w:b/>
              </w:rPr>
              <w:t xml:space="preserve"> indication</w:t>
            </w:r>
          </w:p>
        </w:tc>
      </w:tr>
      <w:tr w:rsidR="000A15F5" w:rsidTr="005406AF">
        <w:tc>
          <w:tcPr>
            <w:tcW w:w="1668" w:type="dxa"/>
          </w:tcPr>
          <w:p w:rsidR="000A15F5" w:rsidRDefault="000A15F5" w:rsidP="000A15F5">
            <w:pPr>
              <w:spacing w:before="60" w:after="60"/>
              <w:rPr>
                <w:rFonts w:ascii="Garamond" w:hAnsi="Garamond" w:cs="Calibri"/>
              </w:rPr>
            </w:pPr>
            <w:r>
              <w:rPr>
                <w:rFonts w:ascii="Garamond" w:hAnsi="Garamond" w:cs="Calibri"/>
              </w:rPr>
              <w:t>Fluoxetine</w:t>
            </w:r>
          </w:p>
        </w:tc>
        <w:tc>
          <w:tcPr>
            <w:tcW w:w="1275" w:type="dxa"/>
          </w:tcPr>
          <w:p w:rsidR="000A15F5" w:rsidRDefault="000A15F5" w:rsidP="005406AF">
            <w:pPr>
              <w:spacing w:before="60" w:after="60"/>
              <w:rPr>
                <w:rFonts w:ascii="Garamond" w:hAnsi="Garamond" w:cs="Calibri"/>
              </w:rPr>
            </w:pPr>
            <w:r>
              <w:rPr>
                <w:rFonts w:ascii="Garamond" w:hAnsi="Garamond" w:cs="Calibri"/>
              </w:rPr>
              <w:t>N06A</w:t>
            </w:r>
            <w:r w:rsidR="005406AF">
              <w:rPr>
                <w:rFonts w:ascii="Garamond" w:hAnsi="Garamond" w:cs="Calibri"/>
              </w:rPr>
              <w:t>B</w:t>
            </w:r>
            <w:r>
              <w:rPr>
                <w:rFonts w:ascii="Garamond" w:hAnsi="Garamond" w:cs="Calibri"/>
              </w:rPr>
              <w:t>03</w:t>
            </w:r>
          </w:p>
        </w:tc>
        <w:tc>
          <w:tcPr>
            <w:tcW w:w="1418" w:type="dxa"/>
          </w:tcPr>
          <w:p w:rsidR="000A15F5" w:rsidRDefault="000A15F5" w:rsidP="000A15F5">
            <w:pPr>
              <w:spacing w:before="60" w:after="60"/>
              <w:jc w:val="center"/>
              <w:rPr>
                <w:rFonts w:ascii="Garamond" w:hAnsi="Garamond" w:cs="Calibri"/>
              </w:rPr>
            </w:pPr>
            <w:r>
              <w:rPr>
                <w:rFonts w:ascii="Garamond" w:hAnsi="Garamond" w:cs="Calibri"/>
              </w:rPr>
              <w:t>20</w:t>
            </w:r>
          </w:p>
        </w:tc>
        <w:tc>
          <w:tcPr>
            <w:tcW w:w="3260" w:type="dxa"/>
          </w:tcPr>
          <w:p w:rsidR="000A15F5" w:rsidRDefault="000A15F5" w:rsidP="000A15F5">
            <w:pPr>
              <w:spacing w:before="60" w:after="60"/>
              <w:rPr>
                <w:rFonts w:ascii="Garamond" w:hAnsi="Garamond" w:cs="Calibri"/>
              </w:rPr>
            </w:pPr>
            <w:r>
              <w:rPr>
                <w:rFonts w:ascii="Garamond" w:hAnsi="Garamond" w:cs="Calibri"/>
              </w:rPr>
              <w:t>Depression</w:t>
            </w:r>
            <w:r w:rsidR="0009285A">
              <w:rPr>
                <w:rFonts w:ascii="Garamond" w:hAnsi="Garamond" w:cs="Calibri"/>
              </w:rPr>
              <w:t xml:space="preserve"> </w:t>
            </w:r>
            <w:r w:rsidR="0009285A">
              <w:rPr>
                <w:rFonts w:ascii="Garamond" w:hAnsi="Garamond" w:cs="Calibri"/>
              </w:rPr>
              <w:br/>
              <w:t>(&gt;8 years of age)</w:t>
            </w:r>
          </w:p>
        </w:tc>
      </w:tr>
      <w:tr w:rsidR="000A15F5" w:rsidTr="005406AF">
        <w:tc>
          <w:tcPr>
            <w:tcW w:w="1668" w:type="dxa"/>
          </w:tcPr>
          <w:p w:rsidR="000A15F5" w:rsidRDefault="000A15F5" w:rsidP="000A15F5">
            <w:pPr>
              <w:spacing w:before="60" w:after="60"/>
              <w:rPr>
                <w:rFonts w:ascii="Garamond" w:hAnsi="Garamond" w:cs="Calibri"/>
              </w:rPr>
            </w:pPr>
            <w:r>
              <w:rPr>
                <w:rFonts w:ascii="Garamond" w:hAnsi="Garamond" w:cs="Calibri"/>
              </w:rPr>
              <w:t>Citalopram</w:t>
            </w:r>
          </w:p>
        </w:tc>
        <w:tc>
          <w:tcPr>
            <w:tcW w:w="1275" w:type="dxa"/>
          </w:tcPr>
          <w:p w:rsidR="000A15F5" w:rsidRDefault="000A15F5" w:rsidP="005406AF">
            <w:pPr>
              <w:spacing w:before="60" w:after="60"/>
              <w:rPr>
                <w:rFonts w:ascii="Garamond" w:hAnsi="Garamond" w:cs="Calibri"/>
              </w:rPr>
            </w:pPr>
            <w:r>
              <w:rPr>
                <w:rFonts w:ascii="Garamond" w:hAnsi="Garamond" w:cs="Calibri"/>
              </w:rPr>
              <w:t>N06A</w:t>
            </w:r>
            <w:r w:rsidR="005406AF">
              <w:rPr>
                <w:rFonts w:ascii="Garamond" w:hAnsi="Garamond" w:cs="Calibri"/>
              </w:rPr>
              <w:t>B</w:t>
            </w:r>
            <w:r>
              <w:rPr>
                <w:rFonts w:ascii="Garamond" w:hAnsi="Garamond" w:cs="Calibri"/>
              </w:rPr>
              <w:t>04</w:t>
            </w:r>
          </w:p>
        </w:tc>
        <w:tc>
          <w:tcPr>
            <w:tcW w:w="1418" w:type="dxa"/>
          </w:tcPr>
          <w:p w:rsidR="000A15F5" w:rsidRDefault="000A15F5" w:rsidP="000A15F5">
            <w:pPr>
              <w:spacing w:before="60" w:after="60"/>
              <w:jc w:val="center"/>
              <w:rPr>
                <w:rFonts w:ascii="Garamond" w:hAnsi="Garamond" w:cs="Calibri"/>
              </w:rPr>
            </w:pPr>
            <w:r>
              <w:rPr>
                <w:rFonts w:ascii="Garamond" w:hAnsi="Garamond" w:cs="Calibri"/>
              </w:rPr>
              <w:t>20</w:t>
            </w:r>
          </w:p>
        </w:tc>
        <w:tc>
          <w:tcPr>
            <w:tcW w:w="3260" w:type="dxa"/>
          </w:tcPr>
          <w:p w:rsidR="000A15F5" w:rsidRDefault="00000853" w:rsidP="000A15F5">
            <w:pPr>
              <w:spacing w:before="60" w:after="60"/>
              <w:rPr>
                <w:rFonts w:ascii="Garamond" w:hAnsi="Garamond" w:cs="Calibri"/>
              </w:rPr>
            </w:pPr>
            <w:r>
              <w:rPr>
                <w:rFonts w:ascii="Garamond" w:hAnsi="Garamond" w:cs="Calibri"/>
              </w:rPr>
              <w:t>None</w:t>
            </w:r>
          </w:p>
        </w:tc>
      </w:tr>
      <w:tr w:rsidR="000A15F5" w:rsidTr="005406AF">
        <w:tc>
          <w:tcPr>
            <w:tcW w:w="1668" w:type="dxa"/>
          </w:tcPr>
          <w:p w:rsidR="000A15F5" w:rsidRDefault="000A15F5" w:rsidP="000A15F5">
            <w:pPr>
              <w:spacing w:before="60" w:after="60"/>
              <w:rPr>
                <w:rFonts w:ascii="Garamond" w:hAnsi="Garamond" w:cs="Calibri"/>
              </w:rPr>
            </w:pPr>
            <w:r>
              <w:rPr>
                <w:rFonts w:ascii="Garamond" w:hAnsi="Garamond" w:cs="Calibri"/>
              </w:rPr>
              <w:t>Paroxetine</w:t>
            </w:r>
          </w:p>
        </w:tc>
        <w:tc>
          <w:tcPr>
            <w:tcW w:w="1275" w:type="dxa"/>
          </w:tcPr>
          <w:p w:rsidR="000A15F5" w:rsidRDefault="000A15F5" w:rsidP="005406AF">
            <w:pPr>
              <w:spacing w:before="60" w:after="60"/>
              <w:rPr>
                <w:rFonts w:ascii="Garamond" w:hAnsi="Garamond" w:cs="Calibri"/>
              </w:rPr>
            </w:pPr>
            <w:r>
              <w:rPr>
                <w:rFonts w:ascii="Garamond" w:hAnsi="Garamond" w:cs="Calibri"/>
              </w:rPr>
              <w:t>N06A</w:t>
            </w:r>
            <w:r w:rsidR="005406AF">
              <w:rPr>
                <w:rFonts w:ascii="Garamond" w:hAnsi="Garamond" w:cs="Calibri"/>
              </w:rPr>
              <w:t>B</w:t>
            </w:r>
            <w:r>
              <w:rPr>
                <w:rFonts w:ascii="Garamond" w:hAnsi="Garamond" w:cs="Calibri"/>
              </w:rPr>
              <w:t>05</w:t>
            </w:r>
          </w:p>
        </w:tc>
        <w:tc>
          <w:tcPr>
            <w:tcW w:w="1418" w:type="dxa"/>
          </w:tcPr>
          <w:p w:rsidR="000A15F5" w:rsidRDefault="000A15F5" w:rsidP="000A15F5">
            <w:pPr>
              <w:spacing w:before="60" w:after="60"/>
              <w:jc w:val="center"/>
              <w:rPr>
                <w:rFonts w:ascii="Garamond" w:hAnsi="Garamond" w:cs="Calibri"/>
              </w:rPr>
            </w:pPr>
            <w:r>
              <w:rPr>
                <w:rFonts w:ascii="Garamond" w:hAnsi="Garamond" w:cs="Calibri"/>
              </w:rPr>
              <w:t>20</w:t>
            </w:r>
          </w:p>
        </w:tc>
        <w:tc>
          <w:tcPr>
            <w:tcW w:w="3260" w:type="dxa"/>
          </w:tcPr>
          <w:p w:rsidR="000A15F5" w:rsidRDefault="00000853" w:rsidP="000A15F5">
            <w:pPr>
              <w:spacing w:before="60" w:after="60"/>
              <w:rPr>
                <w:rFonts w:ascii="Garamond" w:hAnsi="Garamond" w:cs="Calibri"/>
              </w:rPr>
            </w:pPr>
            <w:r>
              <w:rPr>
                <w:rFonts w:ascii="Garamond" w:hAnsi="Garamond" w:cs="Calibri"/>
              </w:rPr>
              <w:t>None</w:t>
            </w:r>
          </w:p>
        </w:tc>
      </w:tr>
      <w:tr w:rsidR="000A15F5" w:rsidTr="005406AF">
        <w:tc>
          <w:tcPr>
            <w:tcW w:w="1668" w:type="dxa"/>
          </w:tcPr>
          <w:p w:rsidR="000A15F5" w:rsidRDefault="000A15F5" w:rsidP="000A15F5">
            <w:pPr>
              <w:spacing w:before="60" w:after="60"/>
              <w:rPr>
                <w:rFonts w:ascii="Garamond" w:hAnsi="Garamond" w:cs="Calibri"/>
              </w:rPr>
            </w:pPr>
            <w:r>
              <w:rPr>
                <w:rFonts w:ascii="Garamond" w:hAnsi="Garamond" w:cs="Calibri"/>
              </w:rPr>
              <w:t>Sertraline</w:t>
            </w:r>
          </w:p>
        </w:tc>
        <w:tc>
          <w:tcPr>
            <w:tcW w:w="1275" w:type="dxa"/>
          </w:tcPr>
          <w:p w:rsidR="000A15F5" w:rsidRDefault="000A15F5" w:rsidP="005406AF">
            <w:pPr>
              <w:spacing w:before="60" w:after="60"/>
              <w:rPr>
                <w:rFonts w:ascii="Garamond" w:hAnsi="Garamond" w:cs="Calibri"/>
              </w:rPr>
            </w:pPr>
            <w:r>
              <w:rPr>
                <w:rFonts w:ascii="Garamond" w:hAnsi="Garamond" w:cs="Calibri"/>
              </w:rPr>
              <w:t>N06A</w:t>
            </w:r>
            <w:r w:rsidR="005406AF">
              <w:rPr>
                <w:rFonts w:ascii="Garamond" w:hAnsi="Garamond" w:cs="Calibri"/>
              </w:rPr>
              <w:t>B</w:t>
            </w:r>
            <w:r>
              <w:rPr>
                <w:rFonts w:ascii="Garamond" w:hAnsi="Garamond" w:cs="Calibri"/>
              </w:rPr>
              <w:t>06</w:t>
            </w:r>
          </w:p>
        </w:tc>
        <w:tc>
          <w:tcPr>
            <w:tcW w:w="1418" w:type="dxa"/>
          </w:tcPr>
          <w:p w:rsidR="000A15F5" w:rsidRDefault="000A15F5" w:rsidP="000A15F5">
            <w:pPr>
              <w:spacing w:before="60" w:after="60"/>
              <w:jc w:val="center"/>
              <w:rPr>
                <w:rFonts w:ascii="Garamond" w:hAnsi="Garamond" w:cs="Calibri"/>
              </w:rPr>
            </w:pPr>
            <w:r>
              <w:rPr>
                <w:rFonts w:ascii="Garamond" w:hAnsi="Garamond" w:cs="Calibri"/>
              </w:rPr>
              <w:t>50</w:t>
            </w:r>
          </w:p>
        </w:tc>
        <w:tc>
          <w:tcPr>
            <w:tcW w:w="3260" w:type="dxa"/>
          </w:tcPr>
          <w:p w:rsidR="000A15F5" w:rsidRDefault="000A15F5" w:rsidP="000A15F5">
            <w:pPr>
              <w:spacing w:before="60" w:after="60"/>
              <w:rPr>
                <w:rFonts w:ascii="Garamond" w:hAnsi="Garamond" w:cs="Calibri"/>
              </w:rPr>
            </w:pPr>
            <w:r>
              <w:rPr>
                <w:rFonts w:ascii="Garamond" w:hAnsi="Garamond" w:cs="Calibri"/>
              </w:rPr>
              <w:t>Obsessive-compulsive disorder</w:t>
            </w:r>
            <w:r w:rsidR="0009285A">
              <w:rPr>
                <w:rFonts w:ascii="Garamond" w:hAnsi="Garamond" w:cs="Calibri"/>
              </w:rPr>
              <w:t xml:space="preserve"> </w:t>
            </w:r>
            <w:r w:rsidR="0009285A">
              <w:rPr>
                <w:rFonts w:ascii="Garamond" w:hAnsi="Garamond" w:cs="Calibri"/>
              </w:rPr>
              <w:br/>
              <w:t>(&gt;5 years of age)</w:t>
            </w:r>
          </w:p>
        </w:tc>
      </w:tr>
      <w:tr w:rsidR="000A15F5" w:rsidTr="00EA5FA8">
        <w:tc>
          <w:tcPr>
            <w:tcW w:w="1668" w:type="dxa"/>
          </w:tcPr>
          <w:p w:rsidR="000A15F5" w:rsidRDefault="000A15F5" w:rsidP="000A15F5">
            <w:pPr>
              <w:spacing w:before="60" w:after="60"/>
              <w:rPr>
                <w:rFonts w:ascii="Garamond" w:hAnsi="Garamond" w:cs="Calibri"/>
              </w:rPr>
            </w:pPr>
            <w:r>
              <w:rPr>
                <w:rFonts w:ascii="Garamond" w:hAnsi="Garamond" w:cs="Calibri"/>
              </w:rPr>
              <w:t>Fluvoxamine</w:t>
            </w:r>
          </w:p>
        </w:tc>
        <w:tc>
          <w:tcPr>
            <w:tcW w:w="1275" w:type="dxa"/>
          </w:tcPr>
          <w:p w:rsidR="000A15F5" w:rsidRDefault="000A15F5" w:rsidP="005406AF">
            <w:pPr>
              <w:spacing w:before="60" w:after="60"/>
              <w:rPr>
                <w:rFonts w:ascii="Garamond" w:hAnsi="Garamond" w:cs="Calibri"/>
              </w:rPr>
            </w:pPr>
            <w:r>
              <w:rPr>
                <w:rFonts w:ascii="Garamond" w:hAnsi="Garamond" w:cs="Calibri"/>
              </w:rPr>
              <w:t>N06A</w:t>
            </w:r>
            <w:r w:rsidR="005406AF">
              <w:rPr>
                <w:rFonts w:ascii="Garamond" w:hAnsi="Garamond" w:cs="Calibri"/>
              </w:rPr>
              <w:t>B</w:t>
            </w:r>
            <w:r>
              <w:rPr>
                <w:rFonts w:ascii="Garamond" w:hAnsi="Garamond" w:cs="Calibri"/>
              </w:rPr>
              <w:t>08</w:t>
            </w:r>
          </w:p>
        </w:tc>
        <w:tc>
          <w:tcPr>
            <w:tcW w:w="1418" w:type="dxa"/>
          </w:tcPr>
          <w:p w:rsidR="000A15F5" w:rsidRDefault="000A15F5" w:rsidP="000A15F5">
            <w:pPr>
              <w:spacing w:before="60" w:after="60"/>
              <w:jc w:val="center"/>
              <w:rPr>
                <w:rFonts w:ascii="Garamond" w:hAnsi="Garamond" w:cs="Calibri"/>
              </w:rPr>
            </w:pPr>
            <w:r>
              <w:rPr>
                <w:rFonts w:ascii="Garamond" w:hAnsi="Garamond" w:cs="Calibri"/>
              </w:rPr>
              <w:t>100</w:t>
            </w:r>
          </w:p>
        </w:tc>
        <w:tc>
          <w:tcPr>
            <w:tcW w:w="3260" w:type="dxa"/>
          </w:tcPr>
          <w:p w:rsidR="000A15F5" w:rsidRDefault="000A15F5" w:rsidP="0009285A">
            <w:pPr>
              <w:spacing w:before="60" w:after="60"/>
              <w:rPr>
                <w:rFonts w:ascii="Garamond" w:hAnsi="Garamond" w:cs="Calibri"/>
              </w:rPr>
            </w:pPr>
            <w:r>
              <w:rPr>
                <w:rFonts w:ascii="Garamond" w:hAnsi="Garamond" w:cs="Calibri"/>
              </w:rPr>
              <w:t>Obsessive-compulsive disorder</w:t>
            </w:r>
            <w:r w:rsidR="0009285A">
              <w:rPr>
                <w:rFonts w:ascii="Garamond" w:hAnsi="Garamond" w:cs="Calibri"/>
              </w:rPr>
              <w:br/>
              <w:t>(&gt;8 years of age)</w:t>
            </w:r>
          </w:p>
        </w:tc>
      </w:tr>
      <w:tr w:rsidR="000A15F5" w:rsidTr="00EA5FA8">
        <w:tc>
          <w:tcPr>
            <w:tcW w:w="1668" w:type="dxa"/>
            <w:tcBorders>
              <w:bottom w:val="single" w:sz="4" w:space="0" w:color="auto"/>
            </w:tcBorders>
          </w:tcPr>
          <w:p w:rsidR="000A15F5" w:rsidRDefault="000A15F5" w:rsidP="000A15F5">
            <w:pPr>
              <w:spacing w:before="60" w:after="60"/>
              <w:rPr>
                <w:rFonts w:ascii="Garamond" w:hAnsi="Garamond" w:cs="Calibri"/>
              </w:rPr>
            </w:pPr>
            <w:proofErr w:type="spellStart"/>
            <w:r>
              <w:rPr>
                <w:rFonts w:ascii="Garamond" w:hAnsi="Garamond" w:cs="Calibri"/>
              </w:rPr>
              <w:t>Escitalopram</w:t>
            </w:r>
            <w:proofErr w:type="spellEnd"/>
          </w:p>
        </w:tc>
        <w:tc>
          <w:tcPr>
            <w:tcW w:w="1275" w:type="dxa"/>
            <w:tcBorders>
              <w:bottom w:val="single" w:sz="4" w:space="0" w:color="auto"/>
            </w:tcBorders>
          </w:tcPr>
          <w:p w:rsidR="000A15F5" w:rsidRDefault="000A15F5" w:rsidP="005406AF">
            <w:pPr>
              <w:spacing w:before="60" w:after="60"/>
              <w:rPr>
                <w:rFonts w:ascii="Garamond" w:hAnsi="Garamond" w:cs="Calibri"/>
              </w:rPr>
            </w:pPr>
            <w:r>
              <w:rPr>
                <w:rFonts w:ascii="Garamond" w:hAnsi="Garamond" w:cs="Calibri"/>
              </w:rPr>
              <w:t>N06A</w:t>
            </w:r>
            <w:r w:rsidR="005406AF">
              <w:rPr>
                <w:rFonts w:ascii="Garamond" w:hAnsi="Garamond" w:cs="Calibri"/>
              </w:rPr>
              <w:t>B</w:t>
            </w:r>
            <w:r>
              <w:rPr>
                <w:rFonts w:ascii="Garamond" w:hAnsi="Garamond" w:cs="Calibri"/>
              </w:rPr>
              <w:t>10</w:t>
            </w:r>
          </w:p>
        </w:tc>
        <w:tc>
          <w:tcPr>
            <w:tcW w:w="1418" w:type="dxa"/>
            <w:tcBorders>
              <w:bottom w:val="single" w:sz="4" w:space="0" w:color="auto"/>
            </w:tcBorders>
          </w:tcPr>
          <w:p w:rsidR="000A15F5" w:rsidRDefault="000A15F5" w:rsidP="000A15F5">
            <w:pPr>
              <w:spacing w:before="60" w:after="60"/>
              <w:jc w:val="center"/>
              <w:rPr>
                <w:rFonts w:ascii="Garamond" w:hAnsi="Garamond" w:cs="Calibri"/>
              </w:rPr>
            </w:pPr>
            <w:r>
              <w:rPr>
                <w:rFonts w:ascii="Garamond" w:hAnsi="Garamond" w:cs="Calibri"/>
              </w:rPr>
              <w:t>10</w:t>
            </w:r>
          </w:p>
        </w:tc>
        <w:tc>
          <w:tcPr>
            <w:tcW w:w="3260" w:type="dxa"/>
            <w:tcBorders>
              <w:bottom w:val="single" w:sz="4" w:space="0" w:color="auto"/>
            </w:tcBorders>
          </w:tcPr>
          <w:p w:rsidR="000A15F5" w:rsidRDefault="00000853" w:rsidP="000A15F5">
            <w:pPr>
              <w:spacing w:before="60" w:after="60"/>
              <w:rPr>
                <w:rFonts w:ascii="Garamond" w:hAnsi="Garamond" w:cs="Calibri"/>
              </w:rPr>
            </w:pPr>
            <w:r>
              <w:rPr>
                <w:rFonts w:ascii="Garamond" w:hAnsi="Garamond" w:cs="Calibri"/>
              </w:rPr>
              <w:t>None</w:t>
            </w:r>
          </w:p>
        </w:tc>
      </w:tr>
      <w:tr w:rsidR="00EA5FA8" w:rsidTr="004A633C">
        <w:tc>
          <w:tcPr>
            <w:tcW w:w="7621" w:type="dxa"/>
            <w:gridSpan w:val="4"/>
            <w:tcBorders>
              <w:top w:val="single" w:sz="4" w:space="0" w:color="auto"/>
            </w:tcBorders>
          </w:tcPr>
          <w:p w:rsidR="00EA5FA8" w:rsidRPr="00EA5FA8" w:rsidRDefault="00EA5FA8" w:rsidP="00EA5FA8">
            <w:pPr>
              <w:spacing w:before="60" w:after="60"/>
              <w:rPr>
                <w:rFonts w:ascii="Garamond" w:hAnsi="Garamond" w:cs="Calibri"/>
                <w:sz w:val="18"/>
                <w:szCs w:val="18"/>
              </w:rPr>
            </w:pPr>
            <w:r w:rsidRPr="00EA5FA8">
              <w:rPr>
                <w:rFonts w:ascii="Garamond" w:hAnsi="Garamond" w:cs="Calibri"/>
                <w:sz w:val="18"/>
                <w:szCs w:val="18"/>
              </w:rPr>
              <w:t>ATC</w:t>
            </w:r>
            <w:r w:rsidR="009C7CD6">
              <w:rPr>
                <w:rFonts w:ascii="Garamond" w:hAnsi="Garamond" w:cs="Calibri"/>
                <w:sz w:val="18"/>
                <w:szCs w:val="18"/>
              </w:rPr>
              <w:t xml:space="preserve"> =</w:t>
            </w:r>
            <w:r w:rsidRPr="00EA5FA8">
              <w:rPr>
                <w:rFonts w:ascii="Garamond" w:hAnsi="Garamond" w:cs="Calibri"/>
                <w:sz w:val="18"/>
                <w:szCs w:val="18"/>
              </w:rPr>
              <w:t xml:space="preserve"> Anatomical </w:t>
            </w:r>
            <w:proofErr w:type="spellStart"/>
            <w:r w:rsidRPr="00EA5FA8">
              <w:rPr>
                <w:rFonts w:ascii="Garamond" w:hAnsi="Garamond" w:cs="Calibri"/>
                <w:sz w:val="18"/>
                <w:szCs w:val="18"/>
              </w:rPr>
              <w:t>Theraputic</w:t>
            </w:r>
            <w:proofErr w:type="spellEnd"/>
            <w:r w:rsidRPr="00EA5FA8">
              <w:rPr>
                <w:rFonts w:ascii="Garamond" w:hAnsi="Garamond" w:cs="Calibri"/>
                <w:sz w:val="18"/>
                <w:szCs w:val="18"/>
              </w:rPr>
              <w:t xml:space="preserve"> Chemical </w:t>
            </w:r>
          </w:p>
          <w:p w:rsidR="00EA5FA8" w:rsidRDefault="00EA5FA8" w:rsidP="009C7CD6">
            <w:pPr>
              <w:spacing w:before="60" w:after="60"/>
              <w:rPr>
                <w:rFonts w:ascii="Garamond" w:hAnsi="Garamond" w:cs="Calibri"/>
              </w:rPr>
            </w:pPr>
            <w:r w:rsidRPr="00EA5FA8">
              <w:rPr>
                <w:rFonts w:ascii="Garamond" w:hAnsi="Garamond" w:cs="Calibri"/>
                <w:sz w:val="18"/>
                <w:szCs w:val="18"/>
              </w:rPr>
              <w:t>DDD</w:t>
            </w:r>
            <w:r w:rsidR="009C7CD6">
              <w:rPr>
                <w:rFonts w:ascii="Garamond" w:hAnsi="Garamond" w:cs="Calibri"/>
                <w:sz w:val="18"/>
                <w:szCs w:val="18"/>
              </w:rPr>
              <w:t xml:space="preserve"> =</w:t>
            </w:r>
            <w:r w:rsidRPr="00EA5FA8">
              <w:rPr>
                <w:rFonts w:ascii="Garamond" w:hAnsi="Garamond" w:cs="Calibri"/>
                <w:sz w:val="18"/>
                <w:szCs w:val="18"/>
              </w:rPr>
              <w:t xml:space="preserve"> Defined daily dose</w:t>
            </w:r>
          </w:p>
        </w:tc>
      </w:tr>
    </w:tbl>
    <w:p w:rsidR="000A15F5" w:rsidRPr="000A15F5" w:rsidRDefault="000A15F5" w:rsidP="00544F3D">
      <w:pPr>
        <w:spacing w:line="360" w:lineRule="auto"/>
        <w:rPr>
          <w:rFonts w:ascii="Garamond" w:hAnsi="Garamond" w:cs="Calibri"/>
        </w:rPr>
      </w:pPr>
    </w:p>
    <w:p w:rsidR="00D14984" w:rsidRDefault="00D14984" w:rsidP="004965D8">
      <w:pPr>
        <w:spacing w:line="360" w:lineRule="auto"/>
        <w:jc w:val="both"/>
        <w:rPr>
          <w:rFonts w:ascii="Garamond" w:hAnsi="Garamond" w:cstheme="minorHAnsi"/>
          <w:szCs w:val="24"/>
        </w:rPr>
      </w:pPr>
    </w:p>
    <w:p w:rsidR="005E522C" w:rsidRDefault="005E522C">
      <w:pPr>
        <w:spacing w:after="200" w:line="276" w:lineRule="auto"/>
        <w:rPr>
          <w:rFonts w:ascii="Garamond" w:eastAsiaTheme="minorHAnsi" w:hAnsi="Garamond" w:cs="AdvTT3713a231"/>
          <w:color w:val="131413"/>
          <w:szCs w:val="24"/>
          <w:lang w:eastAsia="en-US"/>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4"/>
        <w:gridCol w:w="653"/>
        <w:gridCol w:w="750"/>
        <w:gridCol w:w="653"/>
        <w:gridCol w:w="750"/>
      </w:tblGrid>
      <w:tr w:rsidR="005E522C" w:rsidTr="00EA5FA8">
        <w:tc>
          <w:tcPr>
            <w:tcW w:w="0" w:type="auto"/>
            <w:gridSpan w:val="5"/>
            <w:tcBorders>
              <w:bottom w:val="single" w:sz="4" w:space="0" w:color="auto"/>
            </w:tcBorders>
            <w:vAlign w:val="center"/>
          </w:tcPr>
          <w:p w:rsidR="00EA5FA8" w:rsidRDefault="005E522C" w:rsidP="004A633C">
            <w:pPr>
              <w:rPr>
                <w:rFonts w:ascii="Garamond" w:eastAsiaTheme="minorHAnsi" w:hAnsi="Garamond" w:cs="AdvTT3713a231"/>
                <w:color w:val="131413"/>
                <w:szCs w:val="24"/>
                <w:lang w:eastAsia="en-US"/>
              </w:rPr>
            </w:pPr>
            <w:r w:rsidRPr="000A15F5">
              <w:rPr>
                <w:rFonts w:ascii="Garamond" w:hAnsi="Garamond" w:cs="Calibri"/>
                <w:b/>
                <w:szCs w:val="24"/>
              </w:rPr>
              <w:t xml:space="preserve">Table </w:t>
            </w:r>
            <w:r>
              <w:rPr>
                <w:rFonts w:ascii="Garamond" w:hAnsi="Garamond" w:cs="Calibri"/>
                <w:b/>
                <w:szCs w:val="24"/>
              </w:rPr>
              <w:t>2</w:t>
            </w:r>
            <w:r w:rsidRPr="000A15F5">
              <w:rPr>
                <w:rFonts w:ascii="Garamond" w:hAnsi="Garamond" w:cs="Calibri"/>
                <w:b/>
                <w:szCs w:val="24"/>
              </w:rPr>
              <w:t xml:space="preserve">: </w:t>
            </w:r>
            <w:r w:rsidRPr="005E522C">
              <w:rPr>
                <w:rFonts w:ascii="Garamond" w:hAnsi="Garamond" w:cs="Calibri"/>
                <w:szCs w:val="24"/>
              </w:rPr>
              <w:t>A</w:t>
            </w:r>
            <w:r>
              <w:rPr>
                <w:rFonts w:ascii="Garamond" w:eastAsiaTheme="minorHAnsi" w:hAnsi="Garamond" w:cs="AdvTT3713a231"/>
                <w:color w:val="131413"/>
                <w:szCs w:val="24"/>
                <w:lang w:eastAsia="en-US"/>
              </w:rPr>
              <w:t>mount and type of SSRI use in 2011</w:t>
            </w:r>
            <w:r w:rsidR="002E4449">
              <w:rPr>
                <w:rFonts w:ascii="Garamond" w:eastAsiaTheme="minorHAnsi" w:hAnsi="Garamond" w:cs="AdvTT3713a231"/>
                <w:color w:val="131413"/>
                <w:szCs w:val="24"/>
                <w:lang w:eastAsia="en-US"/>
              </w:rPr>
              <w:t xml:space="preserve">, </w:t>
            </w:r>
          </w:p>
          <w:p w:rsidR="005E522C" w:rsidRPr="000A15F5" w:rsidRDefault="002E4449" w:rsidP="004A633C">
            <w:pPr>
              <w:rPr>
                <w:rFonts w:ascii="Garamond" w:hAnsi="Garamond" w:cs="Calibri"/>
                <w:b/>
                <w:szCs w:val="24"/>
              </w:rPr>
            </w:pPr>
            <w:r>
              <w:rPr>
                <w:rFonts w:ascii="Garamond" w:eastAsiaTheme="minorHAnsi" w:hAnsi="Garamond" w:cs="AdvTT3713a231"/>
                <w:color w:val="131413"/>
                <w:szCs w:val="24"/>
                <w:lang w:eastAsia="en-US"/>
              </w:rPr>
              <w:t>expressed in DDD per 1,000 children</w:t>
            </w:r>
          </w:p>
        </w:tc>
      </w:tr>
      <w:tr w:rsidR="002E4449" w:rsidTr="00EA5FA8">
        <w:tc>
          <w:tcPr>
            <w:tcW w:w="0" w:type="auto"/>
            <w:tcBorders>
              <w:top w:val="single" w:sz="4" w:space="0" w:color="auto"/>
            </w:tcBorders>
            <w:vAlign w:val="bottom"/>
          </w:tcPr>
          <w:p w:rsidR="002E4449" w:rsidRPr="000A15F5" w:rsidRDefault="002E4449" w:rsidP="002E4449">
            <w:pPr>
              <w:spacing w:before="120" w:after="120"/>
              <w:rPr>
                <w:rFonts w:ascii="Garamond" w:hAnsi="Garamond" w:cs="Calibri"/>
                <w:b/>
              </w:rPr>
            </w:pPr>
          </w:p>
        </w:tc>
        <w:tc>
          <w:tcPr>
            <w:tcW w:w="0" w:type="auto"/>
            <w:gridSpan w:val="2"/>
            <w:tcBorders>
              <w:top w:val="single" w:sz="4" w:space="0" w:color="auto"/>
              <w:bottom w:val="single" w:sz="4" w:space="0" w:color="auto"/>
            </w:tcBorders>
          </w:tcPr>
          <w:p w:rsidR="002E4449" w:rsidRPr="000A15F5" w:rsidRDefault="002E4449" w:rsidP="002E4449">
            <w:pPr>
              <w:spacing w:before="120" w:after="120"/>
              <w:jc w:val="center"/>
              <w:rPr>
                <w:rFonts w:ascii="Garamond" w:hAnsi="Garamond" w:cs="Calibri"/>
                <w:b/>
              </w:rPr>
            </w:pPr>
            <w:r>
              <w:rPr>
                <w:rFonts w:ascii="Garamond" w:hAnsi="Garamond" w:cs="Calibri"/>
                <w:b/>
                <w:szCs w:val="24"/>
              </w:rPr>
              <w:t>Boys</w:t>
            </w:r>
          </w:p>
        </w:tc>
        <w:tc>
          <w:tcPr>
            <w:tcW w:w="0" w:type="auto"/>
            <w:gridSpan w:val="2"/>
            <w:tcBorders>
              <w:top w:val="single" w:sz="4" w:space="0" w:color="auto"/>
              <w:bottom w:val="single" w:sz="4" w:space="0" w:color="auto"/>
            </w:tcBorders>
          </w:tcPr>
          <w:p w:rsidR="002E4449" w:rsidRPr="000A15F5" w:rsidRDefault="002E4449" w:rsidP="002E4449">
            <w:pPr>
              <w:spacing w:before="120" w:after="120"/>
              <w:jc w:val="center"/>
              <w:rPr>
                <w:rFonts w:ascii="Garamond" w:hAnsi="Garamond" w:cs="Calibri"/>
                <w:b/>
              </w:rPr>
            </w:pPr>
            <w:r>
              <w:rPr>
                <w:rFonts w:ascii="Garamond" w:hAnsi="Garamond" w:cs="Calibri"/>
                <w:b/>
                <w:szCs w:val="24"/>
              </w:rPr>
              <w:t>Girls</w:t>
            </w:r>
          </w:p>
        </w:tc>
      </w:tr>
      <w:tr w:rsidR="002E4449" w:rsidTr="00EA5FA8">
        <w:tc>
          <w:tcPr>
            <w:tcW w:w="0" w:type="auto"/>
            <w:tcBorders>
              <w:bottom w:val="single" w:sz="4" w:space="0" w:color="auto"/>
            </w:tcBorders>
            <w:vAlign w:val="bottom"/>
          </w:tcPr>
          <w:p w:rsidR="002E4449" w:rsidRPr="000A15F5" w:rsidRDefault="002E4449" w:rsidP="002E4449">
            <w:pPr>
              <w:spacing w:before="120" w:after="120"/>
              <w:rPr>
                <w:rFonts w:ascii="Garamond" w:hAnsi="Garamond" w:cs="Calibri"/>
                <w:b/>
              </w:rPr>
            </w:pPr>
            <w:r w:rsidRPr="000A15F5">
              <w:rPr>
                <w:rFonts w:ascii="Garamond" w:hAnsi="Garamond" w:cs="Calibri"/>
                <w:b/>
              </w:rPr>
              <w:t>Drug</w:t>
            </w:r>
          </w:p>
        </w:tc>
        <w:tc>
          <w:tcPr>
            <w:tcW w:w="0" w:type="auto"/>
            <w:tcBorders>
              <w:bottom w:val="single" w:sz="4" w:space="0" w:color="auto"/>
            </w:tcBorders>
            <w:vAlign w:val="center"/>
          </w:tcPr>
          <w:p w:rsidR="002E4449" w:rsidRPr="000A15F5" w:rsidRDefault="002E4449" w:rsidP="002E4449">
            <w:pPr>
              <w:spacing w:before="120" w:after="120"/>
              <w:jc w:val="center"/>
              <w:rPr>
                <w:rFonts w:ascii="Garamond" w:hAnsi="Garamond" w:cs="Calibri"/>
                <w:b/>
              </w:rPr>
            </w:pPr>
            <w:r>
              <w:rPr>
                <w:rFonts w:ascii="Garamond" w:hAnsi="Garamond" w:cs="Calibri"/>
                <w:b/>
              </w:rPr>
              <w:t>Age</w:t>
            </w:r>
            <w:r>
              <w:rPr>
                <w:rFonts w:ascii="Garamond" w:hAnsi="Garamond" w:cs="Calibri"/>
                <w:b/>
              </w:rPr>
              <w:br/>
              <w:t xml:space="preserve">5-12 </w:t>
            </w:r>
          </w:p>
        </w:tc>
        <w:tc>
          <w:tcPr>
            <w:tcW w:w="0" w:type="auto"/>
            <w:tcBorders>
              <w:bottom w:val="single" w:sz="4" w:space="0" w:color="auto"/>
            </w:tcBorders>
          </w:tcPr>
          <w:p w:rsidR="002E4449" w:rsidRPr="000A15F5" w:rsidRDefault="002E4449" w:rsidP="002E4449">
            <w:pPr>
              <w:spacing w:before="120" w:after="120"/>
              <w:jc w:val="center"/>
              <w:rPr>
                <w:rFonts w:ascii="Garamond" w:hAnsi="Garamond" w:cs="Calibri"/>
                <w:b/>
              </w:rPr>
            </w:pPr>
            <w:r>
              <w:rPr>
                <w:rFonts w:ascii="Garamond" w:hAnsi="Garamond" w:cs="Calibri"/>
                <w:b/>
              </w:rPr>
              <w:t>Age</w:t>
            </w:r>
            <w:r>
              <w:rPr>
                <w:rFonts w:ascii="Garamond" w:hAnsi="Garamond" w:cs="Calibri"/>
                <w:b/>
              </w:rPr>
              <w:br/>
              <w:t>13-17</w:t>
            </w:r>
          </w:p>
        </w:tc>
        <w:tc>
          <w:tcPr>
            <w:tcW w:w="0" w:type="auto"/>
            <w:tcBorders>
              <w:bottom w:val="single" w:sz="4" w:space="0" w:color="auto"/>
            </w:tcBorders>
          </w:tcPr>
          <w:p w:rsidR="002E4449" w:rsidRPr="000A15F5" w:rsidRDefault="002E4449" w:rsidP="002E4449">
            <w:pPr>
              <w:spacing w:before="120" w:after="120"/>
              <w:jc w:val="center"/>
              <w:rPr>
                <w:rFonts w:ascii="Garamond" w:hAnsi="Garamond" w:cs="Calibri"/>
                <w:b/>
              </w:rPr>
            </w:pPr>
            <w:r>
              <w:rPr>
                <w:rFonts w:ascii="Garamond" w:hAnsi="Garamond" w:cs="Calibri"/>
                <w:b/>
              </w:rPr>
              <w:t>Age</w:t>
            </w:r>
            <w:r>
              <w:rPr>
                <w:rFonts w:ascii="Garamond" w:hAnsi="Garamond" w:cs="Calibri"/>
                <w:b/>
              </w:rPr>
              <w:br/>
              <w:t>5-12</w:t>
            </w:r>
          </w:p>
        </w:tc>
        <w:tc>
          <w:tcPr>
            <w:tcW w:w="0" w:type="auto"/>
            <w:tcBorders>
              <w:bottom w:val="single" w:sz="4" w:space="0" w:color="auto"/>
            </w:tcBorders>
          </w:tcPr>
          <w:p w:rsidR="002E4449" w:rsidRPr="000A15F5" w:rsidRDefault="002E4449" w:rsidP="002E4449">
            <w:pPr>
              <w:spacing w:before="120" w:after="120"/>
              <w:jc w:val="center"/>
              <w:rPr>
                <w:rFonts w:ascii="Garamond" w:hAnsi="Garamond" w:cs="Calibri"/>
                <w:b/>
              </w:rPr>
            </w:pPr>
            <w:r>
              <w:rPr>
                <w:rFonts w:ascii="Garamond" w:hAnsi="Garamond" w:cs="Calibri"/>
                <w:b/>
              </w:rPr>
              <w:t>Age</w:t>
            </w:r>
            <w:r>
              <w:rPr>
                <w:rFonts w:ascii="Garamond" w:hAnsi="Garamond" w:cs="Calibri"/>
                <w:b/>
              </w:rPr>
              <w:br/>
              <w:t>13-17</w:t>
            </w:r>
          </w:p>
        </w:tc>
      </w:tr>
      <w:tr w:rsidR="005E522C" w:rsidTr="00EA5FA8">
        <w:tc>
          <w:tcPr>
            <w:tcW w:w="0" w:type="auto"/>
          </w:tcPr>
          <w:p w:rsidR="005E522C" w:rsidRDefault="001B42B3" w:rsidP="004A633C">
            <w:pPr>
              <w:spacing w:before="60" w:after="60"/>
              <w:rPr>
                <w:rFonts w:ascii="Garamond" w:hAnsi="Garamond" w:cs="Calibri"/>
              </w:rPr>
            </w:pPr>
            <w:r>
              <w:rPr>
                <w:rFonts w:ascii="Garamond" w:hAnsi="Garamond" w:cs="Calibri"/>
              </w:rPr>
              <w:t>Total</w:t>
            </w:r>
          </w:p>
        </w:tc>
        <w:tc>
          <w:tcPr>
            <w:tcW w:w="0" w:type="auto"/>
          </w:tcPr>
          <w:p w:rsidR="005E522C" w:rsidRDefault="005E522C" w:rsidP="002E4449">
            <w:pPr>
              <w:spacing w:before="60" w:after="60"/>
              <w:jc w:val="center"/>
              <w:rPr>
                <w:rFonts w:ascii="Garamond" w:hAnsi="Garamond" w:cs="Calibri"/>
              </w:rPr>
            </w:pPr>
          </w:p>
        </w:tc>
        <w:tc>
          <w:tcPr>
            <w:tcW w:w="0" w:type="auto"/>
          </w:tcPr>
          <w:p w:rsidR="005E522C" w:rsidRDefault="005E522C" w:rsidP="002E4449">
            <w:pPr>
              <w:spacing w:before="60" w:after="60"/>
              <w:jc w:val="center"/>
              <w:rPr>
                <w:rFonts w:ascii="Garamond" w:hAnsi="Garamond" w:cs="Calibri"/>
              </w:rPr>
            </w:pPr>
          </w:p>
        </w:tc>
        <w:tc>
          <w:tcPr>
            <w:tcW w:w="0" w:type="auto"/>
          </w:tcPr>
          <w:p w:rsidR="005E522C" w:rsidRDefault="005E522C" w:rsidP="002E4449">
            <w:pPr>
              <w:spacing w:before="60" w:after="60"/>
              <w:jc w:val="center"/>
              <w:rPr>
                <w:rFonts w:ascii="Garamond" w:hAnsi="Garamond" w:cs="Calibri"/>
              </w:rPr>
            </w:pPr>
          </w:p>
        </w:tc>
        <w:tc>
          <w:tcPr>
            <w:tcW w:w="0" w:type="auto"/>
          </w:tcPr>
          <w:p w:rsidR="005E522C" w:rsidRDefault="005E522C" w:rsidP="002E4449">
            <w:pPr>
              <w:spacing w:before="60" w:after="60"/>
              <w:jc w:val="center"/>
              <w:rPr>
                <w:rFonts w:ascii="Garamond" w:hAnsi="Garamond" w:cs="Calibri"/>
              </w:rPr>
            </w:pPr>
          </w:p>
        </w:tc>
      </w:tr>
      <w:tr w:rsidR="001B42B3" w:rsidTr="00EA5FA8">
        <w:tc>
          <w:tcPr>
            <w:tcW w:w="0" w:type="auto"/>
          </w:tcPr>
          <w:p w:rsidR="001B42B3" w:rsidRDefault="001B42B3" w:rsidP="00A15107">
            <w:pPr>
              <w:spacing w:before="60" w:after="60"/>
              <w:rPr>
                <w:rFonts w:ascii="Garamond" w:hAnsi="Garamond" w:cs="Calibri"/>
              </w:rPr>
            </w:pPr>
            <w:r>
              <w:rPr>
                <w:rFonts w:ascii="Garamond" w:hAnsi="Garamond" w:cs="Calibri"/>
              </w:rPr>
              <w:t>Fluoxetine</w:t>
            </w: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r>
      <w:tr w:rsidR="001B42B3" w:rsidTr="00EA5FA8">
        <w:tc>
          <w:tcPr>
            <w:tcW w:w="0" w:type="auto"/>
          </w:tcPr>
          <w:p w:rsidR="001B42B3" w:rsidRDefault="001B42B3" w:rsidP="004A633C">
            <w:pPr>
              <w:spacing w:before="60" w:after="60"/>
              <w:rPr>
                <w:rFonts w:ascii="Garamond" w:hAnsi="Garamond" w:cs="Calibri"/>
              </w:rPr>
            </w:pPr>
            <w:r>
              <w:rPr>
                <w:rFonts w:ascii="Garamond" w:hAnsi="Garamond" w:cs="Calibri"/>
              </w:rPr>
              <w:t>Citalopram</w:t>
            </w: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r>
      <w:tr w:rsidR="001B42B3" w:rsidTr="00EA5FA8">
        <w:tc>
          <w:tcPr>
            <w:tcW w:w="0" w:type="auto"/>
          </w:tcPr>
          <w:p w:rsidR="001B42B3" w:rsidRDefault="001B42B3" w:rsidP="004A633C">
            <w:pPr>
              <w:spacing w:before="60" w:after="60"/>
              <w:rPr>
                <w:rFonts w:ascii="Garamond" w:hAnsi="Garamond" w:cs="Calibri"/>
              </w:rPr>
            </w:pPr>
            <w:r>
              <w:rPr>
                <w:rFonts w:ascii="Garamond" w:hAnsi="Garamond" w:cs="Calibri"/>
              </w:rPr>
              <w:t>Paroxetine</w:t>
            </w: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r>
      <w:tr w:rsidR="001B42B3" w:rsidTr="00EA5FA8">
        <w:tc>
          <w:tcPr>
            <w:tcW w:w="0" w:type="auto"/>
          </w:tcPr>
          <w:p w:rsidR="001B42B3" w:rsidRDefault="001B42B3" w:rsidP="004A633C">
            <w:pPr>
              <w:spacing w:before="60" w:after="60"/>
              <w:rPr>
                <w:rFonts w:ascii="Garamond" w:hAnsi="Garamond" w:cs="Calibri"/>
              </w:rPr>
            </w:pPr>
            <w:r>
              <w:rPr>
                <w:rFonts w:ascii="Garamond" w:hAnsi="Garamond" w:cs="Calibri"/>
              </w:rPr>
              <w:t>Sertraline</w:t>
            </w: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r>
      <w:tr w:rsidR="001B42B3" w:rsidTr="00EA5FA8">
        <w:tc>
          <w:tcPr>
            <w:tcW w:w="0" w:type="auto"/>
          </w:tcPr>
          <w:p w:rsidR="001B42B3" w:rsidRDefault="001B42B3" w:rsidP="004A633C">
            <w:pPr>
              <w:spacing w:before="60" w:after="60"/>
              <w:rPr>
                <w:rFonts w:ascii="Garamond" w:hAnsi="Garamond" w:cs="Calibri"/>
              </w:rPr>
            </w:pPr>
            <w:r>
              <w:rPr>
                <w:rFonts w:ascii="Garamond" w:hAnsi="Garamond" w:cs="Calibri"/>
              </w:rPr>
              <w:t>Fluvoxamine</w:t>
            </w: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c>
          <w:tcPr>
            <w:tcW w:w="0" w:type="auto"/>
          </w:tcPr>
          <w:p w:rsidR="001B42B3" w:rsidRDefault="001B42B3" w:rsidP="002E4449">
            <w:pPr>
              <w:spacing w:before="60" w:after="60"/>
              <w:jc w:val="center"/>
              <w:rPr>
                <w:rFonts w:ascii="Garamond" w:hAnsi="Garamond" w:cs="Calibri"/>
              </w:rPr>
            </w:pPr>
          </w:p>
        </w:tc>
      </w:tr>
      <w:tr w:rsidR="001B42B3" w:rsidTr="00EA5FA8">
        <w:tc>
          <w:tcPr>
            <w:tcW w:w="0" w:type="auto"/>
            <w:tcBorders>
              <w:bottom w:val="single" w:sz="4" w:space="0" w:color="auto"/>
            </w:tcBorders>
          </w:tcPr>
          <w:p w:rsidR="001B42B3" w:rsidRDefault="001B42B3" w:rsidP="004A633C">
            <w:pPr>
              <w:spacing w:before="60" w:after="60"/>
              <w:rPr>
                <w:rFonts w:ascii="Garamond" w:hAnsi="Garamond" w:cs="Calibri"/>
              </w:rPr>
            </w:pPr>
            <w:proofErr w:type="spellStart"/>
            <w:r>
              <w:rPr>
                <w:rFonts w:ascii="Garamond" w:hAnsi="Garamond" w:cs="Calibri"/>
              </w:rPr>
              <w:t>Escitalopram</w:t>
            </w:r>
            <w:proofErr w:type="spellEnd"/>
          </w:p>
        </w:tc>
        <w:tc>
          <w:tcPr>
            <w:tcW w:w="0" w:type="auto"/>
            <w:tcBorders>
              <w:bottom w:val="single" w:sz="4" w:space="0" w:color="auto"/>
            </w:tcBorders>
          </w:tcPr>
          <w:p w:rsidR="001B42B3" w:rsidRDefault="001B42B3" w:rsidP="002E4449">
            <w:pPr>
              <w:spacing w:before="60" w:after="60"/>
              <w:jc w:val="center"/>
              <w:rPr>
                <w:rFonts w:ascii="Garamond" w:hAnsi="Garamond" w:cs="Calibri"/>
              </w:rPr>
            </w:pPr>
          </w:p>
        </w:tc>
        <w:tc>
          <w:tcPr>
            <w:tcW w:w="0" w:type="auto"/>
            <w:tcBorders>
              <w:bottom w:val="single" w:sz="4" w:space="0" w:color="auto"/>
            </w:tcBorders>
          </w:tcPr>
          <w:p w:rsidR="001B42B3" w:rsidRDefault="001B42B3" w:rsidP="002E4449">
            <w:pPr>
              <w:spacing w:before="60" w:after="60"/>
              <w:jc w:val="center"/>
              <w:rPr>
                <w:rFonts w:ascii="Garamond" w:hAnsi="Garamond" w:cs="Calibri"/>
              </w:rPr>
            </w:pPr>
          </w:p>
        </w:tc>
        <w:tc>
          <w:tcPr>
            <w:tcW w:w="0" w:type="auto"/>
            <w:tcBorders>
              <w:bottom w:val="single" w:sz="4" w:space="0" w:color="auto"/>
            </w:tcBorders>
          </w:tcPr>
          <w:p w:rsidR="001B42B3" w:rsidRDefault="001B42B3" w:rsidP="002E4449">
            <w:pPr>
              <w:spacing w:before="60" w:after="60"/>
              <w:jc w:val="center"/>
              <w:rPr>
                <w:rFonts w:ascii="Garamond" w:hAnsi="Garamond" w:cs="Calibri"/>
              </w:rPr>
            </w:pPr>
          </w:p>
        </w:tc>
        <w:tc>
          <w:tcPr>
            <w:tcW w:w="0" w:type="auto"/>
            <w:tcBorders>
              <w:bottom w:val="single" w:sz="4" w:space="0" w:color="auto"/>
            </w:tcBorders>
          </w:tcPr>
          <w:p w:rsidR="001B42B3" w:rsidRDefault="001B42B3" w:rsidP="002E4449">
            <w:pPr>
              <w:spacing w:before="60" w:after="60"/>
              <w:jc w:val="center"/>
              <w:rPr>
                <w:rFonts w:ascii="Garamond" w:hAnsi="Garamond" w:cs="Calibri"/>
              </w:rPr>
            </w:pPr>
          </w:p>
        </w:tc>
      </w:tr>
    </w:tbl>
    <w:p w:rsidR="005B6301" w:rsidRDefault="00E81A44">
      <w:pPr>
        <w:spacing w:after="200" w:line="276" w:lineRule="auto"/>
        <w:rPr>
          <w:rFonts w:ascii="Garamond" w:hAnsi="Garamond" w:cstheme="minorHAnsi"/>
          <w:szCs w:val="24"/>
        </w:rPr>
      </w:pPr>
      <w:r>
        <w:rPr>
          <w:rFonts w:ascii="Garamond" w:hAnsi="Garamond" w:cstheme="minorHAnsi"/>
          <w:szCs w:val="24"/>
        </w:rPr>
        <w:br w:type="page"/>
      </w: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4"/>
        <w:gridCol w:w="848"/>
        <w:gridCol w:w="975"/>
        <w:gridCol w:w="848"/>
        <w:gridCol w:w="975"/>
      </w:tblGrid>
      <w:tr w:rsidR="00EA5FA8" w:rsidTr="00EA5FA8">
        <w:tc>
          <w:tcPr>
            <w:tcW w:w="0" w:type="auto"/>
            <w:gridSpan w:val="5"/>
            <w:tcBorders>
              <w:bottom w:val="single" w:sz="4" w:space="0" w:color="auto"/>
            </w:tcBorders>
            <w:vAlign w:val="center"/>
          </w:tcPr>
          <w:p w:rsidR="005B6301" w:rsidRPr="000A15F5" w:rsidRDefault="00EA5FA8" w:rsidP="00EA5FA8">
            <w:pPr>
              <w:rPr>
                <w:rFonts w:ascii="Garamond" w:hAnsi="Garamond" w:cs="Calibri"/>
                <w:b/>
                <w:szCs w:val="24"/>
              </w:rPr>
            </w:pPr>
            <w:r w:rsidRPr="000A15F5">
              <w:rPr>
                <w:rFonts w:ascii="Garamond" w:hAnsi="Garamond" w:cs="Calibri"/>
                <w:b/>
                <w:szCs w:val="24"/>
              </w:rPr>
              <w:lastRenderedPageBreak/>
              <w:t xml:space="preserve">Table </w:t>
            </w:r>
            <w:r>
              <w:rPr>
                <w:rFonts w:ascii="Garamond" w:hAnsi="Garamond" w:cs="Calibri"/>
                <w:b/>
                <w:szCs w:val="24"/>
              </w:rPr>
              <w:t>3</w:t>
            </w:r>
            <w:r w:rsidRPr="000A15F5">
              <w:rPr>
                <w:rFonts w:ascii="Garamond" w:hAnsi="Garamond" w:cs="Calibri"/>
                <w:b/>
                <w:szCs w:val="24"/>
              </w:rPr>
              <w:t xml:space="preserve">: </w:t>
            </w:r>
            <w:r>
              <w:rPr>
                <w:rFonts w:ascii="Garamond" w:hAnsi="Garamond" w:cs="Calibri"/>
                <w:szCs w:val="24"/>
              </w:rPr>
              <w:t xml:space="preserve">Regional differences in average prevalence proportion </w:t>
            </w:r>
            <w:r>
              <w:rPr>
                <w:rFonts w:ascii="Garamond" w:hAnsi="Garamond" w:cs="Calibri"/>
                <w:szCs w:val="24"/>
              </w:rPr>
              <w:br/>
              <w:t>of SSRI use</w:t>
            </w:r>
            <w:r w:rsidR="00B6065B">
              <w:rPr>
                <w:rFonts w:ascii="Garamond" w:hAnsi="Garamond" w:cs="Calibri"/>
                <w:szCs w:val="24"/>
              </w:rPr>
              <w:t xml:space="preserve"> in 2011</w:t>
            </w:r>
            <w:r>
              <w:rPr>
                <w:rFonts w:ascii="Garamond" w:hAnsi="Garamond" w:cs="Calibri"/>
                <w:szCs w:val="24"/>
              </w:rPr>
              <w:t xml:space="preserve"> expressed as average number of users per 1,000 </w:t>
            </w:r>
            <w:r>
              <w:rPr>
                <w:rFonts w:ascii="Garamond" w:hAnsi="Garamond" w:cs="Calibri"/>
                <w:szCs w:val="24"/>
              </w:rPr>
              <w:br/>
              <w:t>children and specified by gender and age category</w:t>
            </w:r>
            <w:r>
              <w:rPr>
                <w:rFonts w:ascii="Garamond" w:eastAsiaTheme="minorHAnsi" w:hAnsi="Garamond" w:cs="AdvTT3713a231"/>
                <w:color w:val="131413"/>
                <w:szCs w:val="24"/>
                <w:lang w:eastAsia="en-US"/>
              </w:rPr>
              <w:t>.</w:t>
            </w:r>
          </w:p>
        </w:tc>
      </w:tr>
      <w:tr w:rsidR="00EA5FA8" w:rsidTr="00EA5FA8">
        <w:tc>
          <w:tcPr>
            <w:tcW w:w="0" w:type="auto"/>
            <w:tcBorders>
              <w:top w:val="single" w:sz="4" w:space="0" w:color="auto"/>
            </w:tcBorders>
            <w:vAlign w:val="bottom"/>
          </w:tcPr>
          <w:p w:rsidR="005B6301" w:rsidRPr="000A15F5" w:rsidRDefault="005B6301" w:rsidP="004A633C">
            <w:pPr>
              <w:spacing w:before="120" w:after="120"/>
              <w:rPr>
                <w:rFonts w:ascii="Garamond" w:hAnsi="Garamond" w:cs="Calibri"/>
                <w:b/>
              </w:rPr>
            </w:pPr>
          </w:p>
        </w:tc>
        <w:tc>
          <w:tcPr>
            <w:tcW w:w="0" w:type="auto"/>
            <w:gridSpan w:val="2"/>
            <w:tcBorders>
              <w:top w:val="single" w:sz="4" w:space="0" w:color="auto"/>
              <w:bottom w:val="single" w:sz="4" w:space="0" w:color="auto"/>
            </w:tcBorders>
          </w:tcPr>
          <w:p w:rsidR="005B6301" w:rsidRPr="000A15F5" w:rsidRDefault="005B6301" w:rsidP="004A633C">
            <w:pPr>
              <w:spacing w:before="120" w:after="120"/>
              <w:jc w:val="center"/>
              <w:rPr>
                <w:rFonts w:ascii="Garamond" w:hAnsi="Garamond" w:cs="Calibri"/>
                <w:b/>
              </w:rPr>
            </w:pPr>
            <w:r>
              <w:rPr>
                <w:rFonts w:ascii="Garamond" w:hAnsi="Garamond" w:cs="Calibri"/>
                <w:b/>
                <w:szCs w:val="24"/>
              </w:rPr>
              <w:t>Boys</w:t>
            </w:r>
          </w:p>
        </w:tc>
        <w:tc>
          <w:tcPr>
            <w:tcW w:w="0" w:type="auto"/>
            <w:gridSpan w:val="2"/>
            <w:tcBorders>
              <w:top w:val="single" w:sz="4" w:space="0" w:color="auto"/>
              <w:bottom w:val="single" w:sz="4" w:space="0" w:color="auto"/>
            </w:tcBorders>
          </w:tcPr>
          <w:p w:rsidR="005B6301" w:rsidRPr="000A15F5" w:rsidRDefault="005B6301" w:rsidP="004A633C">
            <w:pPr>
              <w:spacing w:before="120" w:after="120"/>
              <w:jc w:val="center"/>
              <w:rPr>
                <w:rFonts w:ascii="Garamond" w:hAnsi="Garamond" w:cs="Calibri"/>
                <w:b/>
              </w:rPr>
            </w:pPr>
            <w:r>
              <w:rPr>
                <w:rFonts w:ascii="Garamond" w:hAnsi="Garamond" w:cs="Calibri"/>
                <w:b/>
                <w:szCs w:val="24"/>
              </w:rPr>
              <w:t>Girls</w:t>
            </w:r>
          </w:p>
        </w:tc>
      </w:tr>
      <w:tr w:rsidR="00EA5FA8" w:rsidTr="00EA5FA8">
        <w:tc>
          <w:tcPr>
            <w:tcW w:w="0" w:type="auto"/>
            <w:tcBorders>
              <w:bottom w:val="single" w:sz="4" w:space="0" w:color="auto"/>
            </w:tcBorders>
            <w:vAlign w:val="bottom"/>
          </w:tcPr>
          <w:p w:rsidR="005B6301" w:rsidRPr="000A15F5" w:rsidRDefault="004A633C" w:rsidP="004A633C">
            <w:pPr>
              <w:spacing w:before="120" w:after="120"/>
              <w:rPr>
                <w:rFonts w:ascii="Garamond" w:hAnsi="Garamond" w:cs="Calibri"/>
                <w:b/>
              </w:rPr>
            </w:pPr>
            <w:r>
              <w:rPr>
                <w:rFonts w:ascii="Garamond" w:hAnsi="Garamond" w:cs="Calibri"/>
                <w:b/>
              </w:rPr>
              <w:t>Region</w:t>
            </w:r>
          </w:p>
        </w:tc>
        <w:tc>
          <w:tcPr>
            <w:tcW w:w="0" w:type="auto"/>
            <w:tcBorders>
              <w:bottom w:val="single" w:sz="4" w:space="0" w:color="auto"/>
            </w:tcBorders>
            <w:vAlign w:val="center"/>
          </w:tcPr>
          <w:p w:rsidR="005B6301" w:rsidRPr="000A15F5" w:rsidRDefault="005B6301" w:rsidP="004A633C">
            <w:pPr>
              <w:spacing w:before="120" w:after="120"/>
              <w:jc w:val="center"/>
              <w:rPr>
                <w:rFonts w:ascii="Garamond" w:hAnsi="Garamond" w:cs="Calibri"/>
                <w:b/>
              </w:rPr>
            </w:pPr>
            <w:r>
              <w:rPr>
                <w:rFonts w:ascii="Garamond" w:hAnsi="Garamond" w:cs="Calibri"/>
                <w:b/>
              </w:rPr>
              <w:t>Age</w:t>
            </w:r>
            <w:r>
              <w:rPr>
                <w:rFonts w:ascii="Garamond" w:hAnsi="Garamond" w:cs="Calibri"/>
                <w:b/>
              </w:rPr>
              <w:br/>
              <w:t xml:space="preserve">5-12 </w:t>
            </w:r>
          </w:p>
        </w:tc>
        <w:tc>
          <w:tcPr>
            <w:tcW w:w="0" w:type="auto"/>
            <w:tcBorders>
              <w:bottom w:val="single" w:sz="4" w:space="0" w:color="auto"/>
            </w:tcBorders>
          </w:tcPr>
          <w:p w:rsidR="005B6301" w:rsidRPr="000A15F5" w:rsidRDefault="005B6301" w:rsidP="004A633C">
            <w:pPr>
              <w:spacing w:before="120" w:after="120"/>
              <w:jc w:val="center"/>
              <w:rPr>
                <w:rFonts w:ascii="Garamond" w:hAnsi="Garamond" w:cs="Calibri"/>
                <w:b/>
              </w:rPr>
            </w:pPr>
            <w:r>
              <w:rPr>
                <w:rFonts w:ascii="Garamond" w:hAnsi="Garamond" w:cs="Calibri"/>
                <w:b/>
              </w:rPr>
              <w:t>Age</w:t>
            </w:r>
            <w:r>
              <w:rPr>
                <w:rFonts w:ascii="Garamond" w:hAnsi="Garamond" w:cs="Calibri"/>
                <w:b/>
              </w:rPr>
              <w:br/>
              <w:t>13-17</w:t>
            </w:r>
          </w:p>
        </w:tc>
        <w:tc>
          <w:tcPr>
            <w:tcW w:w="0" w:type="auto"/>
            <w:tcBorders>
              <w:bottom w:val="single" w:sz="4" w:space="0" w:color="auto"/>
            </w:tcBorders>
          </w:tcPr>
          <w:p w:rsidR="005B6301" w:rsidRPr="000A15F5" w:rsidRDefault="005B6301" w:rsidP="004A633C">
            <w:pPr>
              <w:spacing w:before="120" w:after="120"/>
              <w:jc w:val="center"/>
              <w:rPr>
                <w:rFonts w:ascii="Garamond" w:hAnsi="Garamond" w:cs="Calibri"/>
                <w:b/>
              </w:rPr>
            </w:pPr>
            <w:r>
              <w:rPr>
                <w:rFonts w:ascii="Garamond" w:hAnsi="Garamond" w:cs="Calibri"/>
                <w:b/>
              </w:rPr>
              <w:t>Age</w:t>
            </w:r>
            <w:r>
              <w:rPr>
                <w:rFonts w:ascii="Garamond" w:hAnsi="Garamond" w:cs="Calibri"/>
                <w:b/>
              </w:rPr>
              <w:br/>
              <w:t>5-12</w:t>
            </w:r>
          </w:p>
        </w:tc>
        <w:tc>
          <w:tcPr>
            <w:tcW w:w="0" w:type="auto"/>
            <w:tcBorders>
              <w:bottom w:val="single" w:sz="4" w:space="0" w:color="auto"/>
            </w:tcBorders>
          </w:tcPr>
          <w:p w:rsidR="005B6301" w:rsidRPr="000A15F5" w:rsidRDefault="005B6301" w:rsidP="004A633C">
            <w:pPr>
              <w:spacing w:before="120" w:after="120"/>
              <w:jc w:val="center"/>
              <w:rPr>
                <w:rFonts w:ascii="Garamond" w:hAnsi="Garamond" w:cs="Calibri"/>
                <w:b/>
              </w:rPr>
            </w:pPr>
            <w:r>
              <w:rPr>
                <w:rFonts w:ascii="Garamond" w:hAnsi="Garamond" w:cs="Calibri"/>
                <w:b/>
              </w:rPr>
              <w:t>Age</w:t>
            </w:r>
            <w:r>
              <w:rPr>
                <w:rFonts w:ascii="Garamond" w:hAnsi="Garamond" w:cs="Calibri"/>
                <w:b/>
              </w:rPr>
              <w:br/>
              <w:t>13-17</w:t>
            </w:r>
          </w:p>
        </w:tc>
      </w:tr>
      <w:tr w:rsidR="00EA5FA8" w:rsidTr="00EA5FA8">
        <w:tc>
          <w:tcPr>
            <w:tcW w:w="0" w:type="auto"/>
          </w:tcPr>
          <w:p w:rsidR="005B6301" w:rsidRDefault="00EA5FA8" w:rsidP="00EA5FA8">
            <w:pPr>
              <w:spacing w:before="60" w:after="60"/>
              <w:rPr>
                <w:rFonts w:ascii="Garamond" w:hAnsi="Garamond" w:cs="Calibri"/>
              </w:rPr>
            </w:pPr>
            <w:r>
              <w:rPr>
                <w:rFonts w:ascii="Garamond" w:hAnsi="Garamond" w:cs="Calibri"/>
              </w:rPr>
              <w:t>Entire Denmark</w:t>
            </w: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r>
      <w:tr w:rsidR="00EA5FA8" w:rsidTr="00EA5FA8">
        <w:tc>
          <w:tcPr>
            <w:tcW w:w="0" w:type="auto"/>
          </w:tcPr>
          <w:p w:rsidR="005B6301" w:rsidRDefault="00EA5FA8" w:rsidP="004A633C">
            <w:pPr>
              <w:spacing w:before="60" w:after="60"/>
              <w:rPr>
                <w:rFonts w:ascii="Garamond" w:hAnsi="Garamond" w:cs="Calibri"/>
              </w:rPr>
            </w:pPr>
            <w:r>
              <w:rPr>
                <w:rFonts w:ascii="Garamond" w:hAnsi="Garamond" w:cs="Calibri"/>
              </w:rPr>
              <w:t>North Region</w:t>
            </w: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r>
      <w:tr w:rsidR="00EA5FA8" w:rsidTr="00EA5FA8">
        <w:tc>
          <w:tcPr>
            <w:tcW w:w="0" w:type="auto"/>
          </w:tcPr>
          <w:p w:rsidR="005B6301" w:rsidRDefault="00EA5FA8" w:rsidP="004A633C">
            <w:pPr>
              <w:spacing w:before="60" w:after="60"/>
              <w:rPr>
                <w:rFonts w:ascii="Garamond" w:hAnsi="Garamond" w:cs="Calibri"/>
              </w:rPr>
            </w:pPr>
            <w:r>
              <w:rPr>
                <w:rFonts w:ascii="Garamond" w:hAnsi="Garamond" w:cs="Calibri"/>
              </w:rPr>
              <w:t>Mid Region</w:t>
            </w: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r>
      <w:tr w:rsidR="00EA5FA8" w:rsidTr="00EA5FA8">
        <w:tc>
          <w:tcPr>
            <w:tcW w:w="0" w:type="auto"/>
          </w:tcPr>
          <w:p w:rsidR="005B6301" w:rsidRDefault="00EA5FA8" w:rsidP="004A633C">
            <w:pPr>
              <w:spacing w:before="60" w:after="60"/>
              <w:rPr>
                <w:rFonts w:ascii="Garamond" w:hAnsi="Garamond" w:cs="Calibri"/>
              </w:rPr>
            </w:pPr>
            <w:r>
              <w:rPr>
                <w:rFonts w:ascii="Garamond" w:hAnsi="Garamond" w:cs="Calibri"/>
              </w:rPr>
              <w:t>South Region</w:t>
            </w: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r>
      <w:tr w:rsidR="00EA5FA8" w:rsidTr="00EA5FA8">
        <w:tc>
          <w:tcPr>
            <w:tcW w:w="0" w:type="auto"/>
          </w:tcPr>
          <w:p w:rsidR="005B6301" w:rsidRDefault="00EA5FA8" w:rsidP="004A633C">
            <w:pPr>
              <w:spacing w:before="60" w:after="60"/>
              <w:rPr>
                <w:rFonts w:ascii="Garamond" w:hAnsi="Garamond" w:cs="Calibri"/>
              </w:rPr>
            </w:pPr>
            <w:r>
              <w:rPr>
                <w:rFonts w:ascii="Garamond" w:hAnsi="Garamond" w:cs="Calibri"/>
              </w:rPr>
              <w:t>Sealand Region</w:t>
            </w: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c>
          <w:tcPr>
            <w:tcW w:w="0" w:type="auto"/>
          </w:tcPr>
          <w:p w:rsidR="005B6301" w:rsidRDefault="005B6301" w:rsidP="004A633C">
            <w:pPr>
              <w:spacing w:before="60" w:after="60"/>
              <w:jc w:val="center"/>
              <w:rPr>
                <w:rFonts w:ascii="Garamond" w:hAnsi="Garamond" w:cs="Calibri"/>
              </w:rPr>
            </w:pPr>
          </w:p>
        </w:tc>
      </w:tr>
      <w:tr w:rsidR="00EA5FA8" w:rsidTr="00EA5FA8">
        <w:tc>
          <w:tcPr>
            <w:tcW w:w="0" w:type="auto"/>
            <w:tcBorders>
              <w:bottom w:val="single" w:sz="4" w:space="0" w:color="auto"/>
            </w:tcBorders>
          </w:tcPr>
          <w:p w:rsidR="005B6301" w:rsidRDefault="00EA5FA8" w:rsidP="004A633C">
            <w:pPr>
              <w:spacing w:before="60" w:after="60"/>
              <w:rPr>
                <w:rFonts w:ascii="Garamond" w:hAnsi="Garamond" w:cs="Calibri"/>
              </w:rPr>
            </w:pPr>
            <w:r>
              <w:rPr>
                <w:rFonts w:ascii="Garamond" w:hAnsi="Garamond" w:cs="Calibri"/>
              </w:rPr>
              <w:t>Capitol Region</w:t>
            </w:r>
          </w:p>
        </w:tc>
        <w:tc>
          <w:tcPr>
            <w:tcW w:w="0" w:type="auto"/>
            <w:tcBorders>
              <w:bottom w:val="single" w:sz="4" w:space="0" w:color="auto"/>
            </w:tcBorders>
          </w:tcPr>
          <w:p w:rsidR="005B6301" w:rsidRDefault="005B6301" w:rsidP="004A633C">
            <w:pPr>
              <w:spacing w:before="60" w:after="60"/>
              <w:jc w:val="center"/>
              <w:rPr>
                <w:rFonts w:ascii="Garamond" w:hAnsi="Garamond" w:cs="Calibri"/>
              </w:rPr>
            </w:pPr>
          </w:p>
        </w:tc>
        <w:tc>
          <w:tcPr>
            <w:tcW w:w="0" w:type="auto"/>
            <w:tcBorders>
              <w:bottom w:val="single" w:sz="4" w:space="0" w:color="auto"/>
            </w:tcBorders>
          </w:tcPr>
          <w:p w:rsidR="005B6301" w:rsidRDefault="005B6301" w:rsidP="004A633C">
            <w:pPr>
              <w:spacing w:before="60" w:after="60"/>
              <w:jc w:val="center"/>
              <w:rPr>
                <w:rFonts w:ascii="Garamond" w:hAnsi="Garamond" w:cs="Calibri"/>
              </w:rPr>
            </w:pPr>
          </w:p>
        </w:tc>
        <w:tc>
          <w:tcPr>
            <w:tcW w:w="0" w:type="auto"/>
            <w:tcBorders>
              <w:bottom w:val="single" w:sz="4" w:space="0" w:color="auto"/>
            </w:tcBorders>
          </w:tcPr>
          <w:p w:rsidR="005B6301" w:rsidRDefault="005B6301" w:rsidP="004A633C">
            <w:pPr>
              <w:spacing w:before="60" w:after="60"/>
              <w:jc w:val="center"/>
              <w:rPr>
                <w:rFonts w:ascii="Garamond" w:hAnsi="Garamond" w:cs="Calibri"/>
              </w:rPr>
            </w:pPr>
          </w:p>
        </w:tc>
        <w:tc>
          <w:tcPr>
            <w:tcW w:w="0" w:type="auto"/>
            <w:tcBorders>
              <w:bottom w:val="single" w:sz="4" w:space="0" w:color="auto"/>
            </w:tcBorders>
          </w:tcPr>
          <w:p w:rsidR="005B6301" w:rsidRDefault="005B6301" w:rsidP="004A633C">
            <w:pPr>
              <w:spacing w:before="60" w:after="60"/>
              <w:jc w:val="center"/>
              <w:rPr>
                <w:rFonts w:ascii="Garamond" w:hAnsi="Garamond" w:cs="Calibri"/>
              </w:rPr>
            </w:pPr>
          </w:p>
        </w:tc>
      </w:tr>
    </w:tbl>
    <w:p w:rsidR="004A633C" w:rsidRDefault="004A633C">
      <w:pPr>
        <w:spacing w:after="200" w:line="276" w:lineRule="auto"/>
        <w:rPr>
          <w:rFonts w:ascii="Garamond" w:hAnsi="Garamond" w:cstheme="minorHAnsi"/>
          <w:szCs w:val="24"/>
        </w:rPr>
      </w:pPr>
    </w:p>
    <w:p w:rsidR="00555301" w:rsidRDefault="00555301">
      <w:pPr>
        <w:spacing w:after="200" w:line="276" w:lineRule="auto"/>
        <w:rPr>
          <w:rFonts w:ascii="Garamond" w:hAnsi="Garamond" w:cstheme="minorHAnsi"/>
          <w:szCs w:val="24"/>
        </w:rPr>
      </w:pPr>
    </w:p>
    <w:p w:rsidR="00555301" w:rsidRDefault="00555301">
      <w:pPr>
        <w:spacing w:after="200" w:line="276" w:lineRule="auto"/>
        <w:rPr>
          <w:rFonts w:ascii="Garamond" w:hAnsi="Garamond" w:cstheme="minorHAnsi"/>
          <w:szCs w:val="24"/>
        </w:rPr>
      </w:pPr>
    </w:p>
    <w:p w:rsidR="00555301" w:rsidRDefault="00555301">
      <w:pPr>
        <w:spacing w:line="276" w:lineRule="auto"/>
        <w:rPr>
          <w:rFonts w:ascii="Garamond" w:hAnsi="Garamond" w:cstheme="minorHAnsi"/>
          <w:sz w:val="22"/>
          <w:szCs w:val="22"/>
        </w:rPr>
      </w:pPr>
      <w:r w:rsidRPr="00555301">
        <w:rPr>
          <w:rFonts w:ascii="Garamond" w:hAnsi="Garamond" w:cstheme="minorHAnsi"/>
          <w:b/>
          <w:sz w:val="22"/>
          <w:szCs w:val="22"/>
        </w:rPr>
        <w:t xml:space="preserve">Table 4: </w:t>
      </w:r>
      <w:r w:rsidRPr="00555301">
        <w:rPr>
          <w:rFonts w:ascii="Garamond" w:hAnsi="Garamond" w:cstheme="minorHAnsi"/>
          <w:sz w:val="22"/>
          <w:szCs w:val="22"/>
        </w:rPr>
        <w:t xml:space="preserve">Concurrent use of other psychotropic drugs among children using SSRI </w:t>
      </w:r>
      <w:r w:rsidR="00B6065B">
        <w:rPr>
          <w:rFonts w:ascii="Garamond" w:hAnsi="Garamond" w:cstheme="minorHAnsi"/>
          <w:sz w:val="22"/>
          <w:szCs w:val="22"/>
        </w:rPr>
        <w:t>in</w:t>
      </w:r>
      <w:r w:rsidRPr="00555301">
        <w:rPr>
          <w:rFonts w:ascii="Garamond" w:hAnsi="Garamond" w:cstheme="minorHAnsi"/>
          <w:sz w:val="22"/>
          <w:szCs w:val="22"/>
        </w:rPr>
        <w:t xml:space="preserve"> 2011, expressed as the percentage of users using any drug from the given drug category and the standardized morbidity ratio, i.e. the ratio between the actual drug use among children using SSRIs and the drug use of the background population. </w:t>
      </w:r>
    </w:p>
    <w:p w:rsidR="00CE41E4" w:rsidRPr="00555301" w:rsidRDefault="00CE41E4">
      <w:pPr>
        <w:spacing w:line="276" w:lineRule="auto"/>
        <w:rPr>
          <w:rFonts w:ascii="Garamond" w:hAnsi="Garamond" w:cstheme="minorHAnsi"/>
          <w:sz w:val="22"/>
          <w:szCs w:val="22"/>
        </w:rPr>
      </w:pPr>
      <w:r>
        <w:rPr>
          <w:rFonts w:ascii="Garamond" w:hAnsi="Garamond" w:cstheme="minorHAnsi"/>
          <w:sz w:val="22"/>
          <w:szCs w:val="22"/>
        </w:rPr>
        <w:t>[</w:t>
      </w:r>
      <w:r w:rsidRPr="00CE41E4">
        <w:rPr>
          <w:rFonts w:ascii="Garamond" w:hAnsi="Garamond" w:cstheme="minorHAnsi"/>
          <w:sz w:val="22"/>
          <w:szCs w:val="22"/>
          <w:highlight w:val="yellow"/>
        </w:rPr>
        <w:t>The table is copied from another study, but I’ll aim for something that resembles this!</w:t>
      </w:r>
      <w:r>
        <w:rPr>
          <w:rFonts w:ascii="Garamond" w:hAnsi="Garamond" w:cstheme="minorHAnsi"/>
          <w:sz w:val="22"/>
          <w:szCs w:val="22"/>
        </w:rPr>
        <w:t>]</w:t>
      </w:r>
    </w:p>
    <w:p w:rsidR="005B6301" w:rsidRDefault="004A633C">
      <w:pPr>
        <w:spacing w:line="276" w:lineRule="auto"/>
        <w:rPr>
          <w:rFonts w:ascii="Garamond" w:hAnsi="Garamond"/>
          <w:b/>
          <w:sz w:val="28"/>
          <w:szCs w:val="28"/>
        </w:rPr>
      </w:pPr>
      <w:r w:rsidRPr="004A633C">
        <w:rPr>
          <w:rFonts w:ascii="Garamond" w:hAnsi="Garamond"/>
          <w:b/>
          <w:noProof/>
          <w:sz w:val="28"/>
          <w:szCs w:val="28"/>
          <w:lang w:val="da-DK"/>
        </w:rPr>
        <w:drawing>
          <wp:inline distT="0" distB="0" distL="0" distR="0">
            <wp:extent cx="5939599" cy="3275937"/>
            <wp:effectExtent l="19050" t="0" r="4001" b="0"/>
            <wp:docPr id="6" name="Picture 5" descr="C:\Anton\Dropbox\[2] Arbejde\[2] Artikel - BestPractice\Tabl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nton\Dropbox\[2] Arbejde\[2] Artikel - BestPractice\Table1.png"/>
                    <pic:cNvPicPr>
                      <a:picLocks noChangeAspect="1" noChangeArrowheads="1"/>
                    </pic:cNvPicPr>
                  </pic:nvPicPr>
                  <pic:blipFill>
                    <a:blip r:embed="rId8" cstate="print"/>
                    <a:srcRect/>
                    <a:stretch>
                      <a:fillRect/>
                    </a:stretch>
                  </pic:blipFill>
                  <pic:spPr bwMode="auto">
                    <a:xfrm>
                      <a:off x="0" y="0"/>
                      <a:ext cx="5943832" cy="3278272"/>
                    </a:xfrm>
                    <a:prstGeom prst="rect">
                      <a:avLst/>
                    </a:prstGeom>
                    <a:noFill/>
                    <a:ln w="9525">
                      <a:noFill/>
                      <a:miter lim="800000"/>
                      <a:headEnd/>
                      <a:tailEnd/>
                    </a:ln>
                  </pic:spPr>
                </pic:pic>
              </a:graphicData>
            </a:graphic>
          </wp:inline>
        </w:drawing>
      </w:r>
      <w:r w:rsidR="005B6301">
        <w:rPr>
          <w:rFonts w:ascii="Garamond" w:hAnsi="Garamond"/>
          <w:b/>
          <w:sz w:val="28"/>
          <w:szCs w:val="28"/>
        </w:rPr>
        <w:br w:type="page"/>
      </w:r>
    </w:p>
    <w:p w:rsidR="00E81A44" w:rsidRPr="002F79AB" w:rsidRDefault="00E81A44" w:rsidP="00E81A44">
      <w:pPr>
        <w:spacing w:line="360" w:lineRule="auto"/>
        <w:rPr>
          <w:rFonts w:ascii="Garamond" w:hAnsi="Garamond"/>
          <w:b/>
          <w:sz w:val="28"/>
          <w:szCs w:val="28"/>
        </w:rPr>
      </w:pPr>
      <w:r>
        <w:rPr>
          <w:rFonts w:ascii="Garamond" w:hAnsi="Garamond"/>
          <w:b/>
          <w:sz w:val="28"/>
          <w:szCs w:val="28"/>
        </w:rPr>
        <w:lastRenderedPageBreak/>
        <w:t>Figures</w:t>
      </w:r>
      <w:r w:rsidR="005E522C">
        <w:rPr>
          <w:rFonts w:ascii="Garamond" w:hAnsi="Garamond"/>
          <w:b/>
          <w:sz w:val="28"/>
          <w:szCs w:val="28"/>
        </w:rPr>
        <w:t xml:space="preserve"> (Warning: Fake data!)</w:t>
      </w:r>
    </w:p>
    <w:p w:rsidR="0096108B" w:rsidRDefault="0096108B" w:rsidP="004965D8">
      <w:pPr>
        <w:spacing w:line="360" w:lineRule="auto"/>
        <w:jc w:val="both"/>
        <w:rPr>
          <w:rFonts w:ascii="Garamond" w:hAnsi="Garamond" w:cstheme="minorHAnsi"/>
          <w:szCs w:val="24"/>
        </w:rPr>
      </w:pPr>
    </w:p>
    <w:p w:rsidR="0096108B" w:rsidRPr="00D05DCF" w:rsidRDefault="0096108B" w:rsidP="004965D8">
      <w:pPr>
        <w:spacing w:line="360" w:lineRule="auto"/>
        <w:jc w:val="both"/>
        <w:rPr>
          <w:rFonts w:ascii="Garamond" w:hAnsi="Garamond" w:cstheme="minorHAnsi"/>
          <w:szCs w:val="24"/>
        </w:rPr>
      </w:pPr>
      <w:r>
        <w:rPr>
          <w:rFonts w:ascii="Garamond" w:hAnsi="Garamond" w:cstheme="minorHAnsi"/>
          <w:b/>
          <w:szCs w:val="24"/>
        </w:rPr>
        <w:t xml:space="preserve">Figure 1: </w:t>
      </w:r>
      <w:r w:rsidR="00D05DCF">
        <w:rPr>
          <w:rFonts w:ascii="Garamond" w:hAnsi="Garamond" w:cstheme="minorHAnsi"/>
          <w:szCs w:val="24"/>
        </w:rPr>
        <w:t>Annual incidence proportions from 1997 to 2011, specified by gender and age category.</w:t>
      </w:r>
    </w:p>
    <w:p w:rsidR="00D14984" w:rsidRDefault="0096108B" w:rsidP="004965D8">
      <w:pPr>
        <w:spacing w:line="360" w:lineRule="auto"/>
        <w:jc w:val="both"/>
        <w:rPr>
          <w:rFonts w:ascii="Garamond" w:hAnsi="Garamond" w:cstheme="minorHAnsi"/>
          <w:szCs w:val="24"/>
        </w:rPr>
      </w:pPr>
      <w:r>
        <w:rPr>
          <w:noProof/>
          <w:lang w:val="da-DK"/>
        </w:rPr>
        <w:drawing>
          <wp:inline distT="0" distB="0" distL="0" distR="0">
            <wp:extent cx="4572000" cy="2743200"/>
            <wp:effectExtent l="0" t="0" r="19050" b="1905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6301" w:rsidRDefault="005B6301">
      <w:pPr>
        <w:spacing w:after="200" w:line="276" w:lineRule="auto"/>
        <w:rPr>
          <w:rFonts w:ascii="Garamond" w:hAnsi="Garamond" w:cstheme="minorHAnsi"/>
          <w:szCs w:val="24"/>
        </w:rPr>
      </w:pPr>
    </w:p>
    <w:p w:rsidR="005B6301" w:rsidRPr="005B6301" w:rsidRDefault="005B6301">
      <w:pPr>
        <w:spacing w:after="200" w:line="276" w:lineRule="auto"/>
        <w:rPr>
          <w:rFonts w:ascii="Garamond" w:hAnsi="Garamond" w:cstheme="minorHAnsi"/>
          <w:szCs w:val="24"/>
        </w:rPr>
      </w:pPr>
      <w:r>
        <w:rPr>
          <w:rFonts w:ascii="Garamond" w:hAnsi="Garamond" w:cstheme="minorHAnsi"/>
          <w:b/>
          <w:szCs w:val="24"/>
        </w:rPr>
        <w:t xml:space="preserve">Figure 2: </w:t>
      </w:r>
      <w:r>
        <w:rPr>
          <w:rFonts w:ascii="Garamond" w:hAnsi="Garamond" w:cstheme="minorHAnsi"/>
          <w:szCs w:val="24"/>
        </w:rPr>
        <w:t>Prevalence proportion from 1995 to 2011, specified by gender age category.</w:t>
      </w:r>
    </w:p>
    <w:p w:rsidR="009C7CD6" w:rsidRDefault="005B6301">
      <w:pPr>
        <w:spacing w:after="200" w:line="276" w:lineRule="auto"/>
        <w:rPr>
          <w:rFonts w:ascii="Garamond" w:hAnsi="Garamond" w:cstheme="minorHAnsi"/>
          <w:szCs w:val="24"/>
        </w:rPr>
      </w:pPr>
      <w:r>
        <w:rPr>
          <w:noProof/>
          <w:lang w:val="da-DK"/>
        </w:rPr>
        <w:drawing>
          <wp:inline distT="0" distB="0" distL="0" distR="0">
            <wp:extent cx="4572000" cy="2743200"/>
            <wp:effectExtent l="0" t="0" r="19050" b="1905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C7CD6" w:rsidRDefault="009C7CD6">
      <w:pPr>
        <w:spacing w:after="200" w:line="276" w:lineRule="auto"/>
        <w:rPr>
          <w:rFonts w:ascii="Garamond" w:hAnsi="Garamond" w:cstheme="minorHAnsi"/>
          <w:szCs w:val="24"/>
        </w:rPr>
      </w:pPr>
      <w:r>
        <w:rPr>
          <w:rFonts w:ascii="Garamond" w:hAnsi="Garamond" w:cstheme="minorHAnsi"/>
          <w:szCs w:val="24"/>
        </w:rPr>
        <w:br w:type="page"/>
      </w:r>
    </w:p>
    <w:p w:rsidR="009C7CD6" w:rsidRDefault="009C7CD6">
      <w:pPr>
        <w:spacing w:after="200" w:line="276" w:lineRule="auto"/>
        <w:rPr>
          <w:rFonts w:ascii="Garamond" w:hAnsi="Garamond" w:cstheme="minorHAnsi"/>
          <w:szCs w:val="24"/>
        </w:rPr>
      </w:pPr>
      <w:r>
        <w:rPr>
          <w:rFonts w:ascii="Garamond" w:hAnsi="Garamond" w:cstheme="minorHAnsi"/>
          <w:b/>
          <w:szCs w:val="24"/>
        </w:rPr>
        <w:lastRenderedPageBreak/>
        <w:t xml:space="preserve">Figure 3: </w:t>
      </w:r>
      <w:r>
        <w:rPr>
          <w:rFonts w:ascii="Garamond" w:hAnsi="Garamond" w:cstheme="minorHAnsi"/>
          <w:szCs w:val="24"/>
        </w:rPr>
        <w:t>Full age and gender spectrum of children using any SSRI at some point during 2011.</w:t>
      </w:r>
    </w:p>
    <w:p w:rsidR="009C7CD6" w:rsidRDefault="0009285A">
      <w:pPr>
        <w:spacing w:after="200" w:line="276" w:lineRule="auto"/>
        <w:rPr>
          <w:rFonts w:ascii="Garamond" w:hAnsi="Garamond" w:cstheme="minorHAnsi"/>
          <w:szCs w:val="24"/>
        </w:rPr>
      </w:pPr>
      <w:r w:rsidRPr="0009285A">
        <w:rPr>
          <w:rFonts w:ascii="Garamond" w:hAnsi="Garamond" w:cstheme="minorHAnsi"/>
          <w:noProof/>
          <w:szCs w:val="24"/>
          <w:lang w:val="da-DK"/>
        </w:rPr>
        <w:drawing>
          <wp:inline distT="0" distB="0" distL="0" distR="0">
            <wp:extent cx="4572000" cy="2743200"/>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C7CD6" w:rsidRDefault="009C7CD6">
      <w:pPr>
        <w:spacing w:after="200" w:line="276" w:lineRule="auto"/>
        <w:rPr>
          <w:rFonts w:ascii="Garamond" w:hAnsi="Garamond" w:cstheme="minorHAnsi"/>
          <w:szCs w:val="24"/>
        </w:rPr>
      </w:pPr>
    </w:p>
    <w:p w:rsidR="004A633C" w:rsidRDefault="004A633C">
      <w:pPr>
        <w:spacing w:after="200" w:line="276" w:lineRule="auto"/>
        <w:rPr>
          <w:rFonts w:ascii="Garamond" w:hAnsi="Garamond" w:cstheme="minorHAnsi"/>
          <w:szCs w:val="24"/>
        </w:rPr>
      </w:pPr>
      <w:r>
        <w:rPr>
          <w:rFonts w:ascii="Garamond" w:hAnsi="Garamond" w:cstheme="minorHAnsi"/>
          <w:szCs w:val="24"/>
        </w:rPr>
        <w:br w:type="page"/>
      </w:r>
    </w:p>
    <w:p w:rsidR="004A633C" w:rsidRDefault="004A633C">
      <w:pPr>
        <w:spacing w:line="276" w:lineRule="auto"/>
        <w:rPr>
          <w:rFonts w:ascii="Garamond" w:hAnsi="Garamond" w:cstheme="minorHAnsi"/>
          <w:szCs w:val="24"/>
        </w:rPr>
      </w:pPr>
      <w:r>
        <w:rPr>
          <w:rFonts w:ascii="Garamond" w:hAnsi="Garamond" w:cstheme="minorHAnsi"/>
          <w:b/>
          <w:szCs w:val="24"/>
        </w:rPr>
        <w:lastRenderedPageBreak/>
        <w:t xml:space="preserve">Figure 4: </w:t>
      </w:r>
      <w:r>
        <w:rPr>
          <w:rFonts w:ascii="Garamond" w:hAnsi="Garamond" w:cstheme="minorHAnsi"/>
          <w:szCs w:val="24"/>
        </w:rPr>
        <w:t xml:space="preserve">Kaplan-Meier curve of drug survival. Treatment was considered terminated when 180 </w:t>
      </w:r>
      <w:r w:rsidR="00215861">
        <w:rPr>
          <w:rFonts w:ascii="Garamond" w:hAnsi="Garamond" w:cstheme="minorHAnsi"/>
          <w:szCs w:val="24"/>
        </w:rPr>
        <w:t xml:space="preserve">days </w:t>
      </w:r>
      <w:r>
        <w:rPr>
          <w:rFonts w:ascii="Garamond" w:hAnsi="Garamond" w:cstheme="minorHAnsi"/>
          <w:szCs w:val="24"/>
        </w:rPr>
        <w:t>had passed without the child</w:t>
      </w:r>
      <w:r w:rsidR="00215861">
        <w:rPr>
          <w:rFonts w:ascii="Garamond" w:hAnsi="Garamond" w:cstheme="minorHAnsi"/>
          <w:szCs w:val="24"/>
        </w:rPr>
        <w:t xml:space="preserve"> </w:t>
      </w:r>
      <w:r>
        <w:rPr>
          <w:rFonts w:ascii="Garamond" w:hAnsi="Garamond" w:cstheme="minorHAnsi"/>
          <w:szCs w:val="24"/>
        </w:rPr>
        <w:t>fill</w:t>
      </w:r>
      <w:r w:rsidR="00215861">
        <w:rPr>
          <w:rFonts w:ascii="Garamond" w:hAnsi="Garamond" w:cstheme="minorHAnsi"/>
          <w:szCs w:val="24"/>
        </w:rPr>
        <w:t>ing</w:t>
      </w:r>
      <w:r>
        <w:rPr>
          <w:rFonts w:ascii="Garamond" w:hAnsi="Garamond" w:cstheme="minorHAnsi"/>
          <w:szCs w:val="24"/>
        </w:rPr>
        <w:t xml:space="preserve"> a new </w:t>
      </w:r>
      <w:r w:rsidR="00215861">
        <w:rPr>
          <w:rFonts w:ascii="Garamond" w:hAnsi="Garamond" w:cstheme="minorHAnsi"/>
          <w:szCs w:val="24"/>
        </w:rPr>
        <w:t xml:space="preserve">SSRI </w:t>
      </w:r>
      <w:r>
        <w:rPr>
          <w:rFonts w:ascii="Garamond" w:hAnsi="Garamond" w:cstheme="minorHAnsi"/>
          <w:szCs w:val="24"/>
        </w:rPr>
        <w:t>prescription.</w:t>
      </w:r>
    </w:p>
    <w:p w:rsidR="00CE41E4" w:rsidRPr="00555301" w:rsidRDefault="00CE41E4" w:rsidP="00CE41E4">
      <w:pPr>
        <w:spacing w:line="276" w:lineRule="auto"/>
        <w:rPr>
          <w:rFonts w:ascii="Garamond" w:hAnsi="Garamond" w:cstheme="minorHAnsi"/>
          <w:sz w:val="22"/>
          <w:szCs w:val="22"/>
        </w:rPr>
      </w:pPr>
      <w:r>
        <w:rPr>
          <w:rFonts w:ascii="Garamond" w:hAnsi="Garamond" w:cstheme="minorHAnsi"/>
          <w:sz w:val="22"/>
          <w:szCs w:val="22"/>
        </w:rPr>
        <w:t>[</w:t>
      </w:r>
      <w:r w:rsidRPr="00CE41E4">
        <w:rPr>
          <w:rFonts w:ascii="Garamond" w:hAnsi="Garamond" w:cstheme="minorHAnsi"/>
          <w:sz w:val="22"/>
          <w:szCs w:val="22"/>
          <w:highlight w:val="yellow"/>
        </w:rPr>
        <w:t xml:space="preserve">The </w:t>
      </w:r>
      <w:r>
        <w:rPr>
          <w:rFonts w:ascii="Garamond" w:hAnsi="Garamond" w:cstheme="minorHAnsi"/>
          <w:sz w:val="22"/>
          <w:szCs w:val="22"/>
          <w:highlight w:val="yellow"/>
        </w:rPr>
        <w:t xml:space="preserve">figure </w:t>
      </w:r>
      <w:r w:rsidRPr="00CE41E4">
        <w:rPr>
          <w:rFonts w:ascii="Garamond" w:hAnsi="Garamond" w:cstheme="minorHAnsi"/>
          <w:sz w:val="22"/>
          <w:szCs w:val="22"/>
          <w:highlight w:val="yellow"/>
        </w:rPr>
        <w:t>is copied from another study, but I’ll aim for something that resembles this!</w:t>
      </w:r>
      <w:r>
        <w:rPr>
          <w:rFonts w:ascii="Garamond" w:hAnsi="Garamond" w:cstheme="minorHAnsi"/>
          <w:sz w:val="22"/>
          <w:szCs w:val="22"/>
        </w:rPr>
        <w:t>]</w:t>
      </w:r>
    </w:p>
    <w:p w:rsidR="009C7CD6" w:rsidRDefault="004A633C">
      <w:pPr>
        <w:spacing w:line="276" w:lineRule="auto"/>
        <w:rPr>
          <w:rFonts w:ascii="Garamond" w:hAnsi="Garamond" w:cstheme="minorHAnsi"/>
          <w:szCs w:val="24"/>
        </w:rPr>
      </w:pPr>
      <w:r w:rsidRPr="004A633C">
        <w:rPr>
          <w:rFonts w:ascii="Garamond" w:hAnsi="Garamond" w:cstheme="minorHAnsi"/>
          <w:noProof/>
          <w:szCs w:val="24"/>
          <w:lang w:val="da-DK"/>
        </w:rPr>
        <w:drawing>
          <wp:inline distT="0" distB="0" distL="0" distR="0">
            <wp:extent cx="6116320" cy="6288405"/>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6116320" cy="6288405"/>
                    </a:xfrm>
                    <a:prstGeom prst="rect">
                      <a:avLst/>
                    </a:prstGeom>
                    <a:noFill/>
                    <a:ln w="9525">
                      <a:noFill/>
                      <a:miter lim="800000"/>
                      <a:headEnd/>
                      <a:tailEnd/>
                    </a:ln>
                  </pic:spPr>
                </pic:pic>
              </a:graphicData>
            </a:graphic>
          </wp:inline>
        </w:drawing>
      </w:r>
    </w:p>
    <w:p w:rsidR="000971D1" w:rsidRDefault="000971D1">
      <w:pPr>
        <w:spacing w:after="200" w:line="276" w:lineRule="auto"/>
        <w:rPr>
          <w:rFonts w:ascii="Garamond" w:hAnsi="Garamond" w:cstheme="minorHAnsi"/>
          <w:szCs w:val="24"/>
        </w:rPr>
      </w:pPr>
      <w:r>
        <w:rPr>
          <w:rFonts w:ascii="Garamond" w:hAnsi="Garamond" w:cstheme="minorHAnsi"/>
          <w:szCs w:val="24"/>
        </w:rPr>
        <w:br w:type="page"/>
      </w:r>
    </w:p>
    <w:p w:rsidR="009816B2" w:rsidRPr="009816B2" w:rsidRDefault="0061148D" w:rsidP="009816B2">
      <w:pPr>
        <w:jc w:val="center"/>
        <w:rPr>
          <w:noProof/>
          <w:szCs w:val="24"/>
        </w:rPr>
      </w:pPr>
      <w:r>
        <w:rPr>
          <w:rFonts w:ascii="Garamond" w:hAnsi="Garamond" w:cstheme="minorHAnsi"/>
          <w:szCs w:val="24"/>
        </w:rPr>
        <w:lastRenderedPageBreak/>
        <w:fldChar w:fldCharType="begin"/>
      </w:r>
      <w:r w:rsidR="00D14984">
        <w:rPr>
          <w:rFonts w:ascii="Garamond" w:hAnsi="Garamond" w:cstheme="minorHAnsi"/>
          <w:szCs w:val="24"/>
        </w:rPr>
        <w:instrText xml:space="preserve"> ADDIN REFMGR.REFLIST </w:instrText>
      </w:r>
      <w:r>
        <w:rPr>
          <w:rFonts w:ascii="Garamond" w:hAnsi="Garamond" w:cstheme="minorHAnsi"/>
          <w:szCs w:val="24"/>
        </w:rPr>
        <w:fldChar w:fldCharType="separate"/>
      </w:r>
      <w:r w:rsidR="009816B2" w:rsidRPr="009816B2">
        <w:rPr>
          <w:noProof/>
          <w:szCs w:val="24"/>
        </w:rPr>
        <w:t>References</w:t>
      </w:r>
    </w:p>
    <w:p w:rsidR="009816B2" w:rsidRPr="009816B2" w:rsidRDefault="009816B2" w:rsidP="009816B2">
      <w:pPr>
        <w:jc w:val="center"/>
        <w:rPr>
          <w:noProof/>
          <w:szCs w:val="24"/>
        </w:rPr>
      </w:pPr>
    </w:p>
    <w:p w:rsidR="009816B2" w:rsidRDefault="009816B2" w:rsidP="009816B2">
      <w:pPr>
        <w:tabs>
          <w:tab w:val="right" w:pos="540"/>
          <w:tab w:val="left" w:pos="720"/>
        </w:tabs>
        <w:spacing w:after="240"/>
        <w:ind w:left="720" w:hanging="720"/>
        <w:jc w:val="both"/>
        <w:rPr>
          <w:noProof/>
          <w:szCs w:val="24"/>
        </w:rPr>
      </w:pPr>
      <w:r>
        <w:rPr>
          <w:noProof/>
          <w:szCs w:val="24"/>
        </w:rPr>
        <w:tab/>
        <w:t xml:space="preserve">(1) </w:t>
      </w:r>
      <w:r>
        <w:rPr>
          <w:noProof/>
          <w:szCs w:val="24"/>
        </w:rPr>
        <w:tab/>
      </w:r>
      <w:r w:rsidRPr="009816B2">
        <w:rPr>
          <w:b/>
          <w:noProof/>
          <w:szCs w:val="24"/>
        </w:rPr>
        <w:t>Gibbons RD, Brown CH, Hur K, Marcus SM, Bhaumik DK, Erkens JA, Herings RM, Mann JJ</w:t>
      </w:r>
      <w:r>
        <w:rPr>
          <w:noProof/>
          <w:szCs w:val="24"/>
        </w:rPr>
        <w:t>. Early evidence on the effects of regulators' suicidality warnings on SSRI prescriptions and suicide in children and adolescents. Am J Psychiatry 2007;164:1356-63.</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(2) </w:t>
      </w:r>
      <w:r>
        <w:rPr>
          <w:noProof/>
          <w:szCs w:val="24"/>
        </w:rPr>
        <w:tab/>
      </w:r>
      <w:r w:rsidRPr="009816B2">
        <w:rPr>
          <w:b/>
          <w:noProof/>
          <w:szCs w:val="24"/>
        </w:rPr>
        <w:t>Vitiello B, Swedo S</w:t>
      </w:r>
      <w:r>
        <w:rPr>
          <w:noProof/>
          <w:szCs w:val="24"/>
        </w:rPr>
        <w:t>. Antidepressant medications in children. N Engl J Med 2004;350:1489-91.</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(3) </w:t>
      </w:r>
      <w:r>
        <w:rPr>
          <w:noProof/>
          <w:szCs w:val="24"/>
        </w:rPr>
        <w:tab/>
      </w:r>
      <w:r w:rsidRPr="009816B2">
        <w:rPr>
          <w:b/>
          <w:noProof/>
          <w:szCs w:val="24"/>
        </w:rPr>
        <w:t>The Danish Ministry of Health and Prevention</w:t>
      </w:r>
      <w:r>
        <w:rPr>
          <w:noProof/>
          <w:szCs w:val="24"/>
        </w:rPr>
        <w:t xml:space="preserve">. [Guide to medicamental treatment of children and adolescents with psychiatric disorders, VEJ no 10332]; Cited 11/12/2012. Available from: </w:t>
      </w:r>
      <w:r w:rsidRPr="009816B2">
        <w:rPr>
          <w:noProof/>
          <w:szCs w:val="24"/>
          <w:u w:val="single"/>
        </w:rPr>
        <w:t>www.retsinformation.dk/</w:t>
      </w:r>
      <w:r>
        <w:rPr>
          <w:noProof/>
          <w:szCs w:val="24"/>
        </w:rPr>
        <w:t>.</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(4) </w:t>
      </w:r>
      <w:r>
        <w:rPr>
          <w:noProof/>
          <w:szCs w:val="24"/>
        </w:rPr>
        <w:tab/>
      </w:r>
      <w:r w:rsidRPr="009816B2">
        <w:rPr>
          <w:b/>
          <w:noProof/>
          <w:szCs w:val="24"/>
        </w:rPr>
        <w:t>European Medicines Agency (EMA)</w:t>
      </w:r>
      <w:r>
        <w:rPr>
          <w:noProof/>
          <w:szCs w:val="24"/>
        </w:rPr>
        <w:t xml:space="preserve">. European Medicines Agency finalizes review of antidepressants in children and adolescents. EMEA/CHMP/128918/2005; Cited 11/12/2012. Available from: </w:t>
      </w:r>
      <w:r w:rsidRPr="009816B2">
        <w:rPr>
          <w:noProof/>
          <w:szCs w:val="24"/>
          <w:u w:val="single"/>
        </w:rPr>
        <w:t>www.ema.europa.eu</w:t>
      </w:r>
      <w:r>
        <w:rPr>
          <w:noProof/>
          <w:szCs w:val="24"/>
        </w:rPr>
        <w:t>.</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(5) </w:t>
      </w:r>
      <w:r>
        <w:rPr>
          <w:noProof/>
          <w:szCs w:val="24"/>
        </w:rPr>
        <w:tab/>
      </w:r>
      <w:r w:rsidRPr="009816B2">
        <w:rPr>
          <w:b/>
          <w:noProof/>
          <w:szCs w:val="24"/>
        </w:rPr>
        <w:t>Summary of Product Characteristics</w:t>
      </w:r>
      <w:r>
        <w:rPr>
          <w:noProof/>
          <w:szCs w:val="24"/>
        </w:rPr>
        <w:t xml:space="preserve">.; Cited 11/12/2012. Available from: </w:t>
      </w:r>
      <w:r w:rsidRPr="009816B2">
        <w:rPr>
          <w:noProof/>
          <w:szCs w:val="24"/>
          <w:u w:val="single"/>
        </w:rPr>
        <w:t>www.produktresume.dk</w:t>
      </w:r>
      <w:r>
        <w:rPr>
          <w:noProof/>
          <w:szCs w:val="24"/>
        </w:rPr>
        <w:t>.</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(6) </w:t>
      </w:r>
      <w:r>
        <w:rPr>
          <w:noProof/>
          <w:szCs w:val="24"/>
        </w:rPr>
        <w:tab/>
      </w:r>
      <w:r w:rsidRPr="009816B2">
        <w:rPr>
          <w:b/>
          <w:noProof/>
          <w:szCs w:val="24"/>
        </w:rPr>
        <w:t>Danish Medicines Agency</w:t>
      </w:r>
      <w:r>
        <w:rPr>
          <w:noProof/>
          <w:szCs w:val="24"/>
        </w:rPr>
        <w:t xml:space="preserve">. [Drugs against depression for children and adolescents]; Cited 11/12/2012. Available from: </w:t>
      </w:r>
      <w:r w:rsidRPr="009816B2">
        <w:rPr>
          <w:noProof/>
          <w:szCs w:val="24"/>
          <w:u w:val="single"/>
        </w:rPr>
        <w:t>www.laegemiddelstyrelsen.dk</w:t>
      </w:r>
      <w:r>
        <w:rPr>
          <w:noProof/>
          <w:szCs w:val="24"/>
        </w:rPr>
        <w:t>.</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(7) </w:t>
      </w:r>
      <w:r>
        <w:rPr>
          <w:noProof/>
          <w:szCs w:val="24"/>
        </w:rPr>
        <w:tab/>
      </w:r>
      <w:r w:rsidRPr="009816B2">
        <w:rPr>
          <w:b/>
          <w:noProof/>
          <w:szCs w:val="24"/>
        </w:rPr>
        <w:t>Frank L</w:t>
      </w:r>
      <w:r>
        <w:rPr>
          <w:noProof/>
          <w:szCs w:val="24"/>
        </w:rPr>
        <w:t>. Epidemiology. When an entire country is a cohort. Science 2000;287:2398-9.</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(8) </w:t>
      </w:r>
      <w:r>
        <w:rPr>
          <w:noProof/>
          <w:szCs w:val="24"/>
        </w:rPr>
        <w:tab/>
      </w:r>
      <w:r w:rsidRPr="009816B2">
        <w:rPr>
          <w:b/>
          <w:noProof/>
          <w:szCs w:val="24"/>
        </w:rPr>
        <w:t>Kildemoes HW, Sorensen HT, Hallas J</w:t>
      </w:r>
      <w:r>
        <w:rPr>
          <w:noProof/>
          <w:szCs w:val="24"/>
        </w:rPr>
        <w:t>. The Danish National Prescription Registry. Scand J Public Health 2011;39:38-41.</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(9) </w:t>
      </w:r>
      <w:r>
        <w:rPr>
          <w:noProof/>
          <w:szCs w:val="24"/>
        </w:rPr>
        <w:tab/>
      </w:r>
      <w:r w:rsidRPr="009816B2">
        <w:rPr>
          <w:b/>
          <w:noProof/>
          <w:szCs w:val="24"/>
        </w:rPr>
        <w:t>Thygesen LC, Ersboll AK</w:t>
      </w:r>
      <w:r>
        <w:rPr>
          <w:noProof/>
          <w:szCs w:val="24"/>
        </w:rPr>
        <w:t>. Danish population-based registers for public health and health-related welfare research: introduction to the supplement. Scand J Public Health 2011;39:8-10.</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(10) </w:t>
      </w:r>
      <w:r>
        <w:rPr>
          <w:noProof/>
          <w:szCs w:val="24"/>
        </w:rPr>
        <w:tab/>
      </w:r>
      <w:r w:rsidRPr="009816B2">
        <w:rPr>
          <w:b/>
          <w:noProof/>
          <w:szCs w:val="24"/>
        </w:rPr>
        <w:t>Danish Medicines Agency</w:t>
      </w:r>
      <w:r>
        <w:rPr>
          <w:noProof/>
          <w:szCs w:val="24"/>
        </w:rPr>
        <w:t xml:space="preserve">. Medstat.dk. Available from: </w:t>
      </w:r>
      <w:r w:rsidRPr="009816B2">
        <w:rPr>
          <w:noProof/>
          <w:szCs w:val="24"/>
          <w:u w:val="single"/>
        </w:rPr>
        <w:t>www.medstat.dk/en</w:t>
      </w:r>
      <w:r>
        <w:rPr>
          <w:noProof/>
          <w:szCs w:val="24"/>
        </w:rPr>
        <w:t>.</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(11) </w:t>
      </w:r>
      <w:r>
        <w:rPr>
          <w:noProof/>
          <w:szCs w:val="24"/>
        </w:rPr>
        <w:tab/>
      </w:r>
      <w:r w:rsidRPr="009816B2">
        <w:rPr>
          <w:b/>
          <w:noProof/>
          <w:szCs w:val="24"/>
        </w:rPr>
        <w:t>Kildemoes HW, Sorensen HT, Hallas J</w:t>
      </w:r>
      <w:r>
        <w:rPr>
          <w:noProof/>
          <w:szCs w:val="24"/>
        </w:rPr>
        <w:t>. The Danish National Prescription Registry. Scand J Public Health 2011;39:38-41.</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(12) </w:t>
      </w:r>
      <w:r>
        <w:rPr>
          <w:noProof/>
          <w:szCs w:val="24"/>
        </w:rPr>
        <w:tab/>
      </w:r>
      <w:r w:rsidRPr="009816B2">
        <w:rPr>
          <w:b/>
          <w:noProof/>
          <w:szCs w:val="24"/>
        </w:rPr>
        <w:t>WHO Collaborating Centre for Drug Statistics Methodology</w:t>
      </w:r>
      <w:r>
        <w:rPr>
          <w:noProof/>
          <w:szCs w:val="24"/>
        </w:rPr>
        <w:t xml:space="preserve">. </w:t>
      </w:r>
      <w:r w:rsidRPr="009816B2">
        <w:rPr>
          <w:rFonts w:ascii="TimesNewRoman" w:hAnsi="TimesNewRoman"/>
          <w:noProof/>
          <w:szCs w:val="24"/>
        </w:rPr>
        <w:t>Guidelines for ATC classification and DDD assignment 2011</w:t>
      </w:r>
      <w:r>
        <w:rPr>
          <w:noProof/>
          <w:szCs w:val="24"/>
        </w:rPr>
        <w:t>. Oslo: WHO Collaborating Centre for Drug Statistics Methodology; 2010.</w:t>
      </w:r>
    </w:p>
    <w:p w:rsidR="009816B2" w:rsidRDefault="009816B2" w:rsidP="009816B2">
      <w:pPr>
        <w:tabs>
          <w:tab w:val="right" w:pos="540"/>
          <w:tab w:val="left" w:pos="720"/>
        </w:tabs>
        <w:spacing w:after="240"/>
        <w:ind w:left="720" w:hanging="720"/>
        <w:jc w:val="both"/>
        <w:rPr>
          <w:noProof/>
          <w:szCs w:val="24"/>
        </w:rPr>
      </w:pPr>
      <w:r>
        <w:rPr>
          <w:noProof/>
          <w:szCs w:val="24"/>
        </w:rPr>
        <w:tab/>
        <w:t xml:space="preserve">(13) </w:t>
      </w:r>
      <w:r>
        <w:rPr>
          <w:noProof/>
          <w:szCs w:val="24"/>
        </w:rPr>
        <w:tab/>
      </w:r>
      <w:r w:rsidRPr="009816B2">
        <w:rPr>
          <w:b/>
          <w:noProof/>
          <w:szCs w:val="24"/>
        </w:rPr>
        <w:t>Pedersen CB</w:t>
      </w:r>
      <w:r>
        <w:rPr>
          <w:noProof/>
          <w:szCs w:val="24"/>
        </w:rPr>
        <w:t>. The Danish Civil Registration System. Scand J Public Health 2011;39:22-5.</w:t>
      </w:r>
    </w:p>
    <w:p w:rsidR="009816B2" w:rsidRDefault="009816B2" w:rsidP="009816B2">
      <w:pPr>
        <w:tabs>
          <w:tab w:val="right" w:pos="540"/>
          <w:tab w:val="left" w:pos="720"/>
        </w:tabs>
        <w:ind w:left="720" w:hanging="720"/>
        <w:jc w:val="both"/>
        <w:rPr>
          <w:noProof/>
          <w:szCs w:val="24"/>
        </w:rPr>
      </w:pPr>
      <w:r>
        <w:rPr>
          <w:noProof/>
          <w:szCs w:val="24"/>
        </w:rPr>
        <w:tab/>
        <w:t xml:space="preserve">(14) </w:t>
      </w:r>
      <w:r>
        <w:rPr>
          <w:noProof/>
          <w:szCs w:val="24"/>
        </w:rPr>
        <w:tab/>
      </w:r>
      <w:r w:rsidRPr="009816B2">
        <w:rPr>
          <w:b/>
          <w:noProof/>
          <w:szCs w:val="24"/>
        </w:rPr>
        <w:t>European Medicines Agency (EMA)</w:t>
      </w:r>
      <w:r>
        <w:rPr>
          <w:noProof/>
          <w:szCs w:val="24"/>
        </w:rPr>
        <w:t xml:space="preserve">. ICH Topic E 11 - Clinical Investigation of Medicinal Products in the Paediatric Population. Note for guidance on clinical investigation of medicinal products in the paediatric population (CPMP/ICH/2711/99).  2001. </w:t>
      </w:r>
    </w:p>
    <w:p w:rsidR="009816B2" w:rsidRDefault="009816B2" w:rsidP="009816B2">
      <w:pPr>
        <w:tabs>
          <w:tab w:val="right" w:pos="540"/>
          <w:tab w:val="left" w:pos="720"/>
        </w:tabs>
        <w:ind w:left="720" w:hanging="720"/>
        <w:jc w:val="both"/>
        <w:rPr>
          <w:noProof/>
          <w:szCs w:val="24"/>
        </w:rPr>
      </w:pPr>
    </w:p>
    <w:p w:rsidR="00C41742" w:rsidRPr="00EC3DB5" w:rsidRDefault="0061148D" w:rsidP="004965D8">
      <w:pPr>
        <w:spacing w:line="360" w:lineRule="auto"/>
        <w:jc w:val="both"/>
        <w:rPr>
          <w:rFonts w:ascii="Garamond" w:hAnsi="Garamond" w:cstheme="minorHAnsi"/>
          <w:szCs w:val="24"/>
        </w:rPr>
      </w:pPr>
      <w:r>
        <w:rPr>
          <w:rFonts w:ascii="Garamond" w:hAnsi="Garamond" w:cstheme="minorHAnsi"/>
          <w:szCs w:val="24"/>
        </w:rPr>
        <w:fldChar w:fldCharType="end"/>
      </w:r>
    </w:p>
    <w:sectPr w:rsidR="00C41742" w:rsidRPr="00EC3DB5" w:rsidSect="007970EE">
      <w:footerReference w:type="default" r:id="rId13"/>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DFC" w:rsidRDefault="009D7DFC" w:rsidP="00400A04">
      <w:r>
        <w:separator/>
      </w:r>
    </w:p>
  </w:endnote>
  <w:endnote w:type="continuationSeparator" w:id="0">
    <w:p w:rsidR="009D7DFC" w:rsidRDefault="009D7DFC" w:rsidP="0040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dvTT3713a231">
    <w:altName w:val="Cambria"/>
    <w:panose1 w:val="00000000000000000000"/>
    <w:charset w:val="00"/>
    <w:family w:val="roman"/>
    <w:notTrueType/>
    <w:pitch w:val="default"/>
    <w:sig w:usb0="00000003" w:usb1="00000000" w:usb2="00000000" w:usb3="00000000" w:csb0="00000001" w:csb1="00000000"/>
  </w:font>
  <w:font w:name="AdvTT50a2f13e.I">
    <w:panose1 w:val="00000000000000000000"/>
    <w:charset w:val="00"/>
    <w:family w:val="roman"/>
    <w:notTrueType/>
    <w:pitch w:val="default"/>
    <w:sig w:usb0="00000003" w:usb1="00000000" w:usb2="00000000" w:usb3="00000000" w:csb0="00000001" w:csb1="00000000"/>
  </w:font>
  <w:font w:name="AdvTT3713a231+20">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8729"/>
      <w:docPartObj>
        <w:docPartGallery w:val="Page Numbers (Bottom of Page)"/>
        <w:docPartUnique/>
      </w:docPartObj>
    </w:sdtPr>
    <w:sdtEndPr/>
    <w:sdtContent>
      <w:sdt>
        <w:sdtPr>
          <w:id w:val="565050523"/>
          <w:docPartObj>
            <w:docPartGallery w:val="Page Numbers (Top of Page)"/>
            <w:docPartUnique/>
          </w:docPartObj>
        </w:sdtPr>
        <w:sdtEndPr/>
        <w:sdtContent>
          <w:p w:rsidR="00D73A80" w:rsidRDefault="00D73A80">
            <w:pPr>
              <w:pStyle w:val="Sidefod"/>
              <w:jc w:val="right"/>
            </w:pPr>
            <w:r>
              <w:t xml:space="preserve">Page </w:t>
            </w:r>
            <w:r w:rsidR="0061148D">
              <w:rPr>
                <w:b/>
                <w:szCs w:val="24"/>
              </w:rPr>
              <w:fldChar w:fldCharType="begin"/>
            </w:r>
            <w:r>
              <w:rPr>
                <w:b/>
              </w:rPr>
              <w:instrText xml:space="preserve"> PAGE </w:instrText>
            </w:r>
            <w:r w:rsidR="0061148D">
              <w:rPr>
                <w:b/>
                <w:szCs w:val="24"/>
              </w:rPr>
              <w:fldChar w:fldCharType="separate"/>
            </w:r>
            <w:r w:rsidR="00CE41E4">
              <w:rPr>
                <w:b/>
                <w:noProof/>
              </w:rPr>
              <w:t>2</w:t>
            </w:r>
            <w:r w:rsidR="0061148D">
              <w:rPr>
                <w:b/>
                <w:szCs w:val="24"/>
              </w:rPr>
              <w:fldChar w:fldCharType="end"/>
            </w:r>
            <w:r>
              <w:t xml:space="preserve"> of </w:t>
            </w:r>
            <w:r w:rsidR="0061148D">
              <w:rPr>
                <w:b/>
                <w:szCs w:val="24"/>
              </w:rPr>
              <w:fldChar w:fldCharType="begin"/>
            </w:r>
            <w:r>
              <w:rPr>
                <w:b/>
              </w:rPr>
              <w:instrText xml:space="preserve"> NUMPAGES  </w:instrText>
            </w:r>
            <w:r w:rsidR="0061148D">
              <w:rPr>
                <w:b/>
                <w:szCs w:val="24"/>
              </w:rPr>
              <w:fldChar w:fldCharType="separate"/>
            </w:r>
            <w:r w:rsidR="00CE41E4">
              <w:rPr>
                <w:b/>
                <w:noProof/>
              </w:rPr>
              <w:t>11</w:t>
            </w:r>
            <w:r w:rsidR="0061148D">
              <w:rPr>
                <w:b/>
                <w:szCs w:val="24"/>
              </w:rPr>
              <w:fldChar w:fldCharType="end"/>
            </w:r>
          </w:p>
        </w:sdtContent>
      </w:sdt>
    </w:sdtContent>
  </w:sdt>
  <w:p w:rsidR="00D73A80" w:rsidRDefault="00D73A8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DFC" w:rsidRDefault="009D7DFC" w:rsidP="00400A04">
      <w:r>
        <w:separator/>
      </w:r>
    </w:p>
  </w:footnote>
  <w:footnote w:type="continuationSeparator" w:id="0">
    <w:p w:rsidR="009D7DFC" w:rsidRDefault="009D7DFC" w:rsidP="00400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B4FCC"/>
    <w:multiLevelType w:val="hybridMultilevel"/>
    <w:tmpl w:val="FA60DDEA"/>
    <w:lvl w:ilvl="0" w:tplc="68ACE54E">
      <w:start w:val="1"/>
      <w:numFmt w:val="bullet"/>
      <w:lvlText w:val=""/>
      <w:lvlJc w:val="left"/>
      <w:pPr>
        <w:ind w:left="3587" w:hanging="360"/>
      </w:pPr>
      <w:rPr>
        <w:rFonts w:ascii="Symbol" w:hAnsi="Symbol" w:hint="default"/>
      </w:rPr>
    </w:lvl>
    <w:lvl w:ilvl="1" w:tplc="04060003" w:tentative="1">
      <w:start w:val="1"/>
      <w:numFmt w:val="bullet"/>
      <w:lvlText w:val="o"/>
      <w:lvlJc w:val="left"/>
      <w:pPr>
        <w:ind w:left="4307" w:hanging="360"/>
      </w:pPr>
      <w:rPr>
        <w:rFonts w:ascii="Courier New" w:hAnsi="Courier New" w:cs="Courier New" w:hint="default"/>
      </w:rPr>
    </w:lvl>
    <w:lvl w:ilvl="2" w:tplc="04060005" w:tentative="1">
      <w:start w:val="1"/>
      <w:numFmt w:val="bullet"/>
      <w:lvlText w:val=""/>
      <w:lvlJc w:val="left"/>
      <w:pPr>
        <w:ind w:left="5027" w:hanging="360"/>
      </w:pPr>
      <w:rPr>
        <w:rFonts w:ascii="Wingdings" w:hAnsi="Wingdings" w:hint="default"/>
      </w:rPr>
    </w:lvl>
    <w:lvl w:ilvl="3" w:tplc="04060001" w:tentative="1">
      <w:start w:val="1"/>
      <w:numFmt w:val="bullet"/>
      <w:lvlText w:val=""/>
      <w:lvlJc w:val="left"/>
      <w:pPr>
        <w:ind w:left="5747" w:hanging="360"/>
      </w:pPr>
      <w:rPr>
        <w:rFonts w:ascii="Symbol" w:hAnsi="Symbol" w:hint="default"/>
      </w:rPr>
    </w:lvl>
    <w:lvl w:ilvl="4" w:tplc="04060003" w:tentative="1">
      <w:start w:val="1"/>
      <w:numFmt w:val="bullet"/>
      <w:lvlText w:val="o"/>
      <w:lvlJc w:val="left"/>
      <w:pPr>
        <w:ind w:left="6467" w:hanging="360"/>
      </w:pPr>
      <w:rPr>
        <w:rFonts w:ascii="Courier New" w:hAnsi="Courier New" w:cs="Courier New" w:hint="default"/>
      </w:rPr>
    </w:lvl>
    <w:lvl w:ilvl="5" w:tplc="04060005" w:tentative="1">
      <w:start w:val="1"/>
      <w:numFmt w:val="bullet"/>
      <w:lvlText w:val=""/>
      <w:lvlJc w:val="left"/>
      <w:pPr>
        <w:ind w:left="7187" w:hanging="360"/>
      </w:pPr>
      <w:rPr>
        <w:rFonts w:ascii="Wingdings" w:hAnsi="Wingdings" w:hint="default"/>
      </w:rPr>
    </w:lvl>
    <w:lvl w:ilvl="6" w:tplc="04060001" w:tentative="1">
      <w:start w:val="1"/>
      <w:numFmt w:val="bullet"/>
      <w:lvlText w:val=""/>
      <w:lvlJc w:val="left"/>
      <w:pPr>
        <w:ind w:left="7907" w:hanging="360"/>
      </w:pPr>
      <w:rPr>
        <w:rFonts w:ascii="Symbol" w:hAnsi="Symbol" w:hint="default"/>
      </w:rPr>
    </w:lvl>
    <w:lvl w:ilvl="7" w:tplc="04060003" w:tentative="1">
      <w:start w:val="1"/>
      <w:numFmt w:val="bullet"/>
      <w:lvlText w:val="o"/>
      <w:lvlJc w:val="left"/>
      <w:pPr>
        <w:ind w:left="8627" w:hanging="360"/>
      </w:pPr>
      <w:rPr>
        <w:rFonts w:ascii="Courier New" w:hAnsi="Courier New" w:cs="Courier New" w:hint="default"/>
      </w:rPr>
    </w:lvl>
    <w:lvl w:ilvl="8" w:tplc="04060005" w:tentative="1">
      <w:start w:val="1"/>
      <w:numFmt w:val="bullet"/>
      <w:lvlText w:val=""/>
      <w:lvlJc w:val="left"/>
      <w:pPr>
        <w:ind w:left="9347" w:hanging="360"/>
      </w:pPr>
      <w:rPr>
        <w:rFonts w:ascii="Wingdings" w:hAnsi="Wingdings" w:hint="default"/>
      </w:rPr>
    </w:lvl>
  </w:abstractNum>
  <w:abstractNum w:abstractNumId="1">
    <w:nsid w:val="0C5D7268"/>
    <w:multiLevelType w:val="hybridMultilevel"/>
    <w:tmpl w:val="8BB2CD7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C192E4E"/>
    <w:multiLevelType w:val="hybridMultilevel"/>
    <w:tmpl w:val="F82430D2"/>
    <w:lvl w:ilvl="0" w:tplc="A296F18A">
      <w:start w:val="1"/>
      <w:numFmt w:val="decimal"/>
      <w:lvlText w:val="%1)"/>
      <w:lvlJc w:val="left"/>
      <w:pPr>
        <w:ind w:left="720" w:hanging="360"/>
      </w:pPr>
      <w:rPr>
        <w:rFonts w:hint="default"/>
        <w:b w:val="0"/>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32A77012"/>
    <w:multiLevelType w:val="hybridMultilevel"/>
    <w:tmpl w:val="404C0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E56F87"/>
    <w:multiLevelType w:val="hybridMultilevel"/>
    <w:tmpl w:val="F774D48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4B1E0F40"/>
    <w:multiLevelType w:val="hybridMultilevel"/>
    <w:tmpl w:val="8AAC4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F44329"/>
    <w:multiLevelType w:val="hybridMultilevel"/>
    <w:tmpl w:val="0F2A3A8C"/>
    <w:lvl w:ilvl="0" w:tplc="6E0892F0">
      <w:start w:val="1"/>
      <w:numFmt w:val="decimal"/>
      <w:lvlText w:val="%1."/>
      <w:lvlJc w:val="left"/>
      <w:pPr>
        <w:ind w:left="1080" w:hanging="360"/>
      </w:pPr>
      <w:rPr>
        <w:rFonts w:hint="default"/>
        <w:b w:val="0"/>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F531EEF"/>
    <w:multiLevelType w:val="hybridMultilevel"/>
    <w:tmpl w:val="1B607434"/>
    <w:lvl w:ilvl="0" w:tplc="475E669E">
      <w:start w:val="1"/>
      <w:numFmt w:val="decimal"/>
      <w:lvlText w:val="%1)"/>
      <w:lvlJc w:val="left"/>
      <w:pPr>
        <w:ind w:left="720" w:hanging="360"/>
      </w:pPr>
      <w:rPr>
        <w:rFonts w:hint="default"/>
        <w:b w:val="0"/>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75FB5FB9"/>
    <w:multiLevelType w:val="hybridMultilevel"/>
    <w:tmpl w:val="F0B27D9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1"/>
  </w:num>
  <w:num w:numId="5">
    <w:abstractNumId w:val="8"/>
  </w:num>
  <w:num w:numId="6">
    <w:abstractNumId w:val="3"/>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REFMGR.InstantFormat" w:val="&lt;ENInstantFormat&gt;&lt;Enabled&gt;0&lt;/Enabled&gt;&lt;ScanUnformatted&gt;1&lt;/ScanUnformatted&gt;&lt;ScanChanges&gt;1&lt;/ScanChanges&gt;&lt;/ENInstantFormat&gt;"/>
    <w:docVar w:name="REFMGR.Layout" w:val="&lt;ENLayout&gt;&lt;Style&gt;C:\Anton\Dropbox\[5] Dokumenter\Peter\Vancouver.os&lt;/Style&gt;&lt;LeftDelim&gt;{&lt;/LeftDelim&gt;&lt;RightDelim&gt;}&lt;/RightDelim&gt;&lt;FontName&gt;Times New Roman&lt;/FontName&gt;&lt;FontSize&gt;12&lt;/FontSize&gt;&lt;ReflistTitle&gt;References&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Antidepressants&lt;/item&gt;&lt;/Libraries&gt;&lt;/ENLibraries&gt;"/>
  </w:docVars>
  <w:rsids>
    <w:rsidRoot w:val="009E1A9E"/>
    <w:rsid w:val="00000853"/>
    <w:rsid w:val="00007A5B"/>
    <w:rsid w:val="00012CD4"/>
    <w:rsid w:val="00013FEB"/>
    <w:rsid w:val="00020B0E"/>
    <w:rsid w:val="00032426"/>
    <w:rsid w:val="000370E3"/>
    <w:rsid w:val="00041188"/>
    <w:rsid w:val="00041BB9"/>
    <w:rsid w:val="00045095"/>
    <w:rsid w:val="00052F66"/>
    <w:rsid w:val="000555A3"/>
    <w:rsid w:val="0005694D"/>
    <w:rsid w:val="00060BBE"/>
    <w:rsid w:val="00062612"/>
    <w:rsid w:val="000635B8"/>
    <w:rsid w:val="00065928"/>
    <w:rsid w:val="00073F47"/>
    <w:rsid w:val="00075EBE"/>
    <w:rsid w:val="00081864"/>
    <w:rsid w:val="00082F67"/>
    <w:rsid w:val="00083B3A"/>
    <w:rsid w:val="000849ED"/>
    <w:rsid w:val="000850B9"/>
    <w:rsid w:val="000865F6"/>
    <w:rsid w:val="0009285A"/>
    <w:rsid w:val="00096E64"/>
    <w:rsid w:val="000971D1"/>
    <w:rsid w:val="00097C51"/>
    <w:rsid w:val="000A127F"/>
    <w:rsid w:val="000A15F5"/>
    <w:rsid w:val="000A2DC3"/>
    <w:rsid w:val="000A58F7"/>
    <w:rsid w:val="000B1A17"/>
    <w:rsid w:val="000B3564"/>
    <w:rsid w:val="000B6136"/>
    <w:rsid w:val="000B7925"/>
    <w:rsid w:val="000C1632"/>
    <w:rsid w:val="000C340B"/>
    <w:rsid w:val="000C382F"/>
    <w:rsid w:val="000C39A0"/>
    <w:rsid w:val="000D2568"/>
    <w:rsid w:val="000D3D2C"/>
    <w:rsid w:val="000E4CA0"/>
    <w:rsid w:val="000E5AB2"/>
    <w:rsid w:val="000F0A0C"/>
    <w:rsid w:val="001169A8"/>
    <w:rsid w:val="001226EB"/>
    <w:rsid w:val="00123C81"/>
    <w:rsid w:val="00124B9C"/>
    <w:rsid w:val="00132630"/>
    <w:rsid w:val="00134181"/>
    <w:rsid w:val="001353CB"/>
    <w:rsid w:val="00140EE3"/>
    <w:rsid w:val="00141088"/>
    <w:rsid w:val="00152022"/>
    <w:rsid w:val="001635D8"/>
    <w:rsid w:val="0017008A"/>
    <w:rsid w:val="001734FF"/>
    <w:rsid w:val="00173F7B"/>
    <w:rsid w:val="00173F8B"/>
    <w:rsid w:val="00174E9C"/>
    <w:rsid w:val="00182E5C"/>
    <w:rsid w:val="00185A79"/>
    <w:rsid w:val="00194EB4"/>
    <w:rsid w:val="001A0B35"/>
    <w:rsid w:val="001A3BE1"/>
    <w:rsid w:val="001B42B3"/>
    <w:rsid w:val="001B4BF4"/>
    <w:rsid w:val="001B7DB4"/>
    <w:rsid w:val="001D56BF"/>
    <w:rsid w:val="001D7ADA"/>
    <w:rsid w:val="001E181D"/>
    <w:rsid w:val="001E226C"/>
    <w:rsid w:val="001F07E4"/>
    <w:rsid w:val="001F3EB7"/>
    <w:rsid w:val="001F6750"/>
    <w:rsid w:val="001F79B1"/>
    <w:rsid w:val="00201B62"/>
    <w:rsid w:val="002063AE"/>
    <w:rsid w:val="00215861"/>
    <w:rsid w:val="00225F45"/>
    <w:rsid w:val="002304EE"/>
    <w:rsid w:val="002309B1"/>
    <w:rsid w:val="00231389"/>
    <w:rsid w:val="0024382D"/>
    <w:rsid w:val="002505BF"/>
    <w:rsid w:val="00256FFA"/>
    <w:rsid w:val="00263876"/>
    <w:rsid w:val="002644BB"/>
    <w:rsid w:val="00265B17"/>
    <w:rsid w:val="002660FF"/>
    <w:rsid w:val="0026737F"/>
    <w:rsid w:val="00275F74"/>
    <w:rsid w:val="0028056C"/>
    <w:rsid w:val="00291509"/>
    <w:rsid w:val="00292A4E"/>
    <w:rsid w:val="002946AC"/>
    <w:rsid w:val="00297C1F"/>
    <w:rsid w:val="00297CFB"/>
    <w:rsid w:val="002A340B"/>
    <w:rsid w:val="002B7FBC"/>
    <w:rsid w:val="002C2965"/>
    <w:rsid w:val="002C2D75"/>
    <w:rsid w:val="002D1E20"/>
    <w:rsid w:val="002D2504"/>
    <w:rsid w:val="002D3632"/>
    <w:rsid w:val="002D43DD"/>
    <w:rsid w:val="002D5ACB"/>
    <w:rsid w:val="002E1E3F"/>
    <w:rsid w:val="002E2119"/>
    <w:rsid w:val="002E4449"/>
    <w:rsid w:val="002F08DA"/>
    <w:rsid w:val="002F4242"/>
    <w:rsid w:val="002F4C22"/>
    <w:rsid w:val="002F79AB"/>
    <w:rsid w:val="00321AB5"/>
    <w:rsid w:val="00326402"/>
    <w:rsid w:val="003356F0"/>
    <w:rsid w:val="0034214A"/>
    <w:rsid w:val="00342ABB"/>
    <w:rsid w:val="003474A6"/>
    <w:rsid w:val="00351BA6"/>
    <w:rsid w:val="0035206B"/>
    <w:rsid w:val="003636F7"/>
    <w:rsid w:val="0036499E"/>
    <w:rsid w:val="00377487"/>
    <w:rsid w:val="00377F9B"/>
    <w:rsid w:val="003843AE"/>
    <w:rsid w:val="00387659"/>
    <w:rsid w:val="003A62D9"/>
    <w:rsid w:val="003A6647"/>
    <w:rsid w:val="003B2C6D"/>
    <w:rsid w:val="003B73EF"/>
    <w:rsid w:val="003C2309"/>
    <w:rsid w:val="003C3CAD"/>
    <w:rsid w:val="003C4A34"/>
    <w:rsid w:val="003D20CD"/>
    <w:rsid w:val="003D420B"/>
    <w:rsid w:val="003D520A"/>
    <w:rsid w:val="003D6319"/>
    <w:rsid w:val="003E05A4"/>
    <w:rsid w:val="003E4C86"/>
    <w:rsid w:val="003E5C03"/>
    <w:rsid w:val="00400A04"/>
    <w:rsid w:val="00401344"/>
    <w:rsid w:val="00401DF6"/>
    <w:rsid w:val="004028A6"/>
    <w:rsid w:val="004114A7"/>
    <w:rsid w:val="00414BBC"/>
    <w:rsid w:val="00416D4B"/>
    <w:rsid w:val="00416FBB"/>
    <w:rsid w:val="004226CD"/>
    <w:rsid w:val="00426C10"/>
    <w:rsid w:val="004308AD"/>
    <w:rsid w:val="00437B04"/>
    <w:rsid w:val="00444EF3"/>
    <w:rsid w:val="0044577A"/>
    <w:rsid w:val="004462BD"/>
    <w:rsid w:val="0044651F"/>
    <w:rsid w:val="00452943"/>
    <w:rsid w:val="00453215"/>
    <w:rsid w:val="004631E1"/>
    <w:rsid w:val="004636BF"/>
    <w:rsid w:val="0046658D"/>
    <w:rsid w:val="00467DCB"/>
    <w:rsid w:val="00470827"/>
    <w:rsid w:val="00482AC8"/>
    <w:rsid w:val="00484708"/>
    <w:rsid w:val="004851E5"/>
    <w:rsid w:val="004965D8"/>
    <w:rsid w:val="004A36B1"/>
    <w:rsid w:val="004A5694"/>
    <w:rsid w:val="004A633C"/>
    <w:rsid w:val="004B0EB8"/>
    <w:rsid w:val="004C0795"/>
    <w:rsid w:val="004C18BE"/>
    <w:rsid w:val="004C1C38"/>
    <w:rsid w:val="004C60F5"/>
    <w:rsid w:val="004D7A3E"/>
    <w:rsid w:val="004E06AA"/>
    <w:rsid w:val="004E4EB7"/>
    <w:rsid w:val="00520A82"/>
    <w:rsid w:val="005225BA"/>
    <w:rsid w:val="00524DEC"/>
    <w:rsid w:val="00535FA7"/>
    <w:rsid w:val="005406AF"/>
    <w:rsid w:val="005414DA"/>
    <w:rsid w:val="00544F3D"/>
    <w:rsid w:val="00546978"/>
    <w:rsid w:val="00555301"/>
    <w:rsid w:val="00555698"/>
    <w:rsid w:val="00557365"/>
    <w:rsid w:val="005703F6"/>
    <w:rsid w:val="00574624"/>
    <w:rsid w:val="00576489"/>
    <w:rsid w:val="00576E31"/>
    <w:rsid w:val="00580259"/>
    <w:rsid w:val="00581631"/>
    <w:rsid w:val="00581AC6"/>
    <w:rsid w:val="005A08DE"/>
    <w:rsid w:val="005B11DE"/>
    <w:rsid w:val="005B6301"/>
    <w:rsid w:val="005C237A"/>
    <w:rsid w:val="005C5146"/>
    <w:rsid w:val="005C754A"/>
    <w:rsid w:val="005D0C44"/>
    <w:rsid w:val="005E2B4B"/>
    <w:rsid w:val="005E4D12"/>
    <w:rsid w:val="005E522C"/>
    <w:rsid w:val="005F6EEA"/>
    <w:rsid w:val="0061148D"/>
    <w:rsid w:val="0062677C"/>
    <w:rsid w:val="006326ED"/>
    <w:rsid w:val="006358CF"/>
    <w:rsid w:val="00636BB4"/>
    <w:rsid w:val="00641F92"/>
    <w:rsid w:val="00642375"/>
    <w:rsid w:val="006427CF"/>
    <w:rsid w:val="006459F4"/>
    <w:rsid w:val="00657924"/>
    <w:rsid w:val="00660F55"/>
    <w:rsid w:val="00662B25"/>
    <w:rsid w:val="00664B07"/>
    <w:rsid w:val="00665002"/>
    <w:rsid w:val="00675C62"/>
    <w:rsid w:val="00684100"/>
    <w:rsid w:val="006858BC"/>
    <w:rsid w:val="006921AF"/>
    <w:rsid w:val="006A2E40"/>
    <w:rsid w:val="006B536D"/>
    <w:rsid w:val="006C413F"/>
    <w:rsid w:val="006C49AA"/>
    <w:rsid w:val="006C7D8E"/>
    <w:rsid w:val="006D3C48"/>
    <w:rsid w:val="006D57B2"/>
    <w:rsid w:val="006E6398"/>
    <w:rsid w:val="006F0DAF"/>
    <w:rsid w:val="007220FF"/>
    <w:rsid w:val="007227EA"/>
    <w:rsid w:val="0073128B"/>
    <w:rsid w:val="00737210"/>
    <w:rsid w:val="007547CC"/>
    <w:rsid w:val="0076457A"/>
    <w:rsid w:val="007653FE"/>
    <w:rsid w:val="0076623C"/>
    <w:rsid w:val="0078229B"/>
    <w:rsid w:val="007865FF"/>
    <w:rsid w:val="00791FCE"/>
    <w:rsid w:val="007970EE"/>
    <w:rsid w:val="00797C88"/>
    <w:rsid w:val="007A0F7E"/>
    <w:rsid w:val="007A1916"/>
    <w:rsid w:val="007A3BC4"/>
    <w:rsid w:val="007A6BA5"/>
    <w:rsid w:val="007B079C"/>
    <w:rsid w:val="007B2736"/>
    <w:rsid w:val="007B303D"/>
    <w:rsid w:val="007C172C"/>
    <w:rsid w:val="007D07A8"/>
    <w:rsid w:val="007D3079"/>
    <w:rsid w:val="007D4D31"/>
    <w:rsid w:val="007D5D98"/>
    <w:rsid w:val="007D734E"/>
    <w:rsid w:val="007E06CA"/>
    <w:rsid w:val="007E1D15"/>
    <w:rsid w:val="007F1ACB"/>
    <w:rsid w:val="007F4015"/>
    <w:rsid w:val="00813513"/>
    <w:rsid w:val="008168FE"/>
    <w:rsid w:val="00823CD2"/>
    <w:rsid w:val="00824BF6"/>
    <w:rsid w:val="008276B3"/>
    <w:rsid w:val="008508B6"/>
    <w:rsid w:val="00880F90"/>
    <w:rsid w:val="008815B7"/>
    <w:rsid w:val="00897ACB"/>
    <w:rsid w:val="008A0F04"/>
    <w:rsid w:val="008A139E"/>
    <w:rsid w:val="008A2801"/>
    <w:rsid w:val="008A61F6"/>
    <w:rsid w:val="008B0A03"/>
    <w:rsid w:val="008B1228"/>
    <w:rsid w:val="008B4A8C"/>
    <w:rsid w:val="008C138D"/>
    <w:rsid w:val="008C2AD0"/>
    <w:rsid w:val="008D2484"/>
    <w:rsid w:val="008E5344"/>
    <w:rsid w:val="008E6ECF"/>
    <w:rsid w:val="008F007C"/>
    <w:rsid w:val="009000C4"/>
    <w:rsid w:val="009065DF"/>
    <w:rsid w:val="009114A4"/>
    <w:rsid w:val="00915FDC"/>
    <w:rsid w:val="009220FA"/>
    <w:rsid w:val="009307D0"/>
    <w:rsid w:val="00934E61"/>
    <w:rsid w:val="009366DA"/>
    <w:rsid w:val="00937A37"/>
    <w:rsid w:val="00947B31"/>
    <w:rsid w:val="0096108B"/>
    <w:rsid w:val="00975A3E"/>
    <w:rsid w:val="00976B64"/>
    <w:rsid w:val="0097742B"/>
    <w:rsid w:val="00977A42"/>
    <w:rsid w:val="00980A65"/>
    <w:rsid w:val="009816B2"/>
    <w:rsid w:val="00994801"/>
    <w:rsid w:val="009A5328"/>
    <w:rsid w:val="009A5810"/>
    <w:rsid w:val="009A6615"/>
    <w:rsid w:val="009A7922"/>
    <w:rsid w:val="009B4834"/>
    <w:rsid w:val="009B4B73"/>
    <w:rsid w:val="009C1925"/>
    <w:rsid w:val="009C7CD6"/>
    <w:rsid w:val="009D5426"/>
    <w:rsid w:val="009D60FA"/>
    <w:rsid w:val="009D7D27"/>
    <w:rsid w:val="009D7DFC"/>
    <w:rsid w:val="009E1A9E"/>
    <w:rsid w:val="009E304E"/>
    <w:rsid w:val="009F047A"/>
    <w:rsid w:val="009F449D"/>
    <w:rsid w:val="00A011FA"/>
    <w:rsid w:val="00A05847"/>
    <w:rsid w:val="00A07891"/>
    <w:rsid w:val="00A11B1C"/>
    <w:rsid w:val="00A11D2E"/>
    <w:rsid w:val="00A11FA3"/>
    <w:rsid w:val="00A1433C"/>
    <w:rsid w:val="00A15107"/>
    <w:rsid w:val="00A21ACA"/>
    <w:rsid w:val="00A2371C"/>
    <w:rsid w:val="00A255FE"/>
    <w:rsid w:val="00A40A4D"/>
    <w:rsid w:val="00A525C9"/>
    <w:rsid w:val="00A52913"/>
    <w:rsid w:val="00A53483"/>
    <w:rsid w:val="00A53597"/>
    <w:rsid w:val="00A6365B"/>
    <w:rsid w:val="00A63BA3"/>
    <w:rsid w:val="00A63F91"/>
    <w:rsid w:val="00A7053F"/>
    <w:rsid w:val="00A774E8"/>
    <w:rsid w:val="00A81E6A"/>
    <w:rsid w:val="00AC496E"/>
    <w:rsid w:val="00AC5542"/>
    <w:rsid w:val="00AD2ECF"/>
    <w:rsid w:val="00AD64E3"/>
    <w:rsid w:val="00AE4714"/>
    <w:rsid w:val="00AF145A"/>
    <w:rsid w:val="00AF7326"/>
    <w:rsid w:val="00B005FF"/>
    <w:rsid w:val="00B00885"/>
    <w:rsid w:val="00B02CBB"/>
    <w:rsid w:val="00B07B34"/>
    <w:rsid w:val="00B12C3B"/>
    <w:rsid w:val="00B16C4A"/>
    <w:rsid w:val="00B22795"/>
    <w:rsid w:val="00B261BD"/>
    <w:rsid w:val="00B264C5"/>
    <w:rsid w:val="00B43639"/>
    <w:rsid w:val="00B55672"/>
    <w:rsid w:val="00B6065B"/>
    <w:rsid w:val="00B8169A"/>
    <w:rsid w:val="00BA3202"/>
    <w:rsid w:val="00BD4357"/>
    <w:rsid w:val="00BE5ADA"/>
    <w:rsid w:val="00BF014D"/>
    <w:rsid w:val="00BF0828"/>
    <w:rsid w:val="00BF2564"/>
    <w:rsid w:val="00BF4275"/>
    <w:rsid w:val="00BF74D7"/>
    <w:rsid w:val="00C01373"/>
    <w:rsid w:val="00C060EE"/>
    <w:rsid w:val="00C140B2"/>
    <w:rsid w:val="00C149E3"/>
    <w:rsid w:val="00C35602"/>
    <w:rsid w:val="00C405B2"/>
    <w:rsid w:val="00C41742"/>
    <w:rsid w:val="00C45524"/>
    <w:rsid w:val="00C5170B"/>
    <w:rsid w:val="00C52CBA"/>
    <w:rsid w:val="00C735AD"/>
    <w:rsid w:val="00C7487B"/>
    <w:rsid w:val="00C973AF"/>
    <w:rsid w:val="00CA4D44"/>
    <w:rsid w:val="00CC0B72"/>
    <w:rsid w:val="00CD03F9"/>
    <w:rsid w:val="00CD456A"/>
    <w:rsid w:val="00CD6CAA"/>
    <w:rsid w:val="00CE41E4"/>
    <w:rsid w:val="00CF3A0B"/>
    <w:rsid w:val="00CF4D68"/>
    <w:rsid w:val="00D026C1"/>
    <w:rsid w:val="00D02D14"/>
    <w:rsid w:val="00D05A92"/>
    <w:rsid w:val="00D05DCF"/>
    <w:rsid w:val="00D06BAB"/>
    <w:rsid w:val="00D14984"/>
    <w:rsid w:val="00D20F66"/>
    <w:rsid w:val="00D31A3A"/>
    <w:rsid w:val="00D31D65"/>
    <w:rsid w:val="00D428BE"/>
    <w:rsid w:val="00D477AD"/>
    <w:rsid w:val="00D520C2"/>
    <w:rsid w:val="00D57B43"/>
    <w:rsid w:val="00D63556"/>
    <w:rsid w:val="00D67B18"/>
    <w:rsid w:val="00D67E9B"/>
    <w:rsid w:val="00D717A3"/>
    <w:rsid w:val="00D73A80"/>
    <w:rsid w:val="00D76214"/>
    <w:rsid w:val="00D77DAB"/>
    <w:rsid w:val="00D80E2D"/>
    <w:rsid w:val="00D817BB"/>
    <w:rsid w:val="00D86335"/>
    <w:rsid w:val="00D93ABF"/>
    <w:rsid w:val="00D95533"/>
    <w:rsid w:val="00DA62D3"/>
    <w:rsid w:val="00DB4693"/>
    <w:rsid w:val="00DB56C6"/>
    <w:rsid w:val="00DC13A4"/>
    <w:rsid w:val="00DC1DC4"/>
    <w:rsid w:val="00DD04BC"/>
    <w:rsid w:val="00DD0B57"/>
    <w:rsid w:val="00DD40DE"/>
    <w:rsid w:val="00DE1A8E"/>
    <w:rsid w:val="00E01F52"/>
    <w:rsid w:val="00E03EFD"/>
    <w:rsid w:val="00E10BE4"/>
    <w:rsid w:val="00E171D5"/>
    <w:rsid w:val="00E24C7C"/>
    <w:rsid w:val="00E27D0E"/>
    <w:rsid w:val="00E31569"/>
    <w:rsid w:val="00E36E69"/>
    <w:rsid w:val="00E37483"/>
    <w:rsid w:val="00E43079"/>
    <w:rsid w:val="00E522CC"/>
    <w:rsid w:val="00E56EAF"/>
    <w:rsid w:val="00E61A85"/>
    <w:rsid w:val="00E6495B"/>
    <w:rsid w:val="00E76C9A"/>
    <w:rsid w:val="00E81A44"/>
    <w:rsid w:val="00E865FB"/>
    <w:rsid w:val="00E97AC6"/>
    <w:rsid w:val="00EA240F"/>
    <w:rsid w:val="00EA5FA8"/>
    <w:rsid w:val="00EB545C"/>
    <w:rsid w:val="00EC3DB5"/>
    <w:rsid w:val="00EC7362"/>
    <w:rsid w:val="00EE63CE"/>
    <w:rsid w:val="00EE68CA"/>
    <w:rsid w:val="00EF1BBC"/>
    <w:rsid w:val="00EF4D00"/>
    <w:rsid w:val="00EF620D"/>
    <w:rsid w:val="00F035A6"/>
    <w:rsid w:val="00F04B97"/>
    <w:rsid w:val="00F07F15"/>
    <w:rsid w:val="00F22A77"/>
    <w:rsid w:val="00F273B2"/>
    <w:rsid w:val="00F37869"/>
    <w:rsid w:val="00F4000F"/>
    <w:rsid w:val="00F506B5"/>
    <w:rsid w:val="00F601E5"/>
    <w:rsid w:val="00F60330"/>
    <w:rsid w:val="00F64078"/>
    <w:rsid w:val="00F66BD9"/>
    <w:rsid w:val="00F70C2D"/>
    <w:rsid w:val="00F765C1"/>
    <w:rsid w:val="00F8198F"/>
    <w:rsid w:val="00F830F7"/>
    <w:rsid w:val="00F84218"/>
    <w:rsid w:val="00F947F9"/>
    <w:rsid w:val="00F94FB4"/>
    <w:rsid w:val="00F96038"/>
    <w:rsid w:val="00FA590B"/>
    <w:rsid w:val="00FA6AC6"/>
    <w:rsid w:val="00FB1A83"/>
    <w:rsid w:val="00FB3A92"/>
    <w:rsid w:val="00FB5C68"/>
    <w:rsid w:val="00FB6B00"/>
    <w:rsid w:val="00FC05CA"/>
    <w:rsid w:val="00FC4B00"/>
    <w:rsid w:val="00FD3732"/>
    <w:rsid w:val="00FE7EAD"/>
    <w:rsid w:val="00FF2FCE"/>
    <w:rsid w:val="00FF6466"/>
    <w:rsid w:val="00FF78D7"/>
    <w:rsid w:val="00FF7C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9A0"/>
    <w:pPr>
      <w:spacing w:after="0" w:line="240" w:lineRule="auto"/>
    </w:pPr>
    <w:rPr>
      <w:rFonts w:ascii="Times New Roman" w:eastAsia="Times New Roman" w:hAnsi="Times New Roman" w:cs="Times New Roman"/>
      <w:sz w:val="24"/>
      <w:szCs w:val="20"/>
      <w:lang w:val="en-US"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400A04"/>
    <w:pPr>
      <w:tabs>
        <w:tab w:val="center" w:pos="4819"/>
        <w:tab w:val="right" w:pos="9638"/>
      </w:tabs>
    </w:pPr>
  </w:style>
  <w:style w:type="character" w:customStyle="1" w:styleId="SidehovedTegn">
    <w:name w:val="Sidehoved Tegn"/>
    <w:basedOn w:val="Standardskrifttypeiafsnit"/>
    <w:link w:val="Sidehoved"/>
    <w:uiPriority w:val="99"/>
    <w:rsid w:val="00400A04"/>
    <w:rPr>
      <w:rFonts w:ascii="Times New Roman" w:eastAsia="Times New Roman" w:hAnsi="Times New Roman" w:cs="Times New Roman"/>
      <w:sz w:val="24"/>
      <w:szCs w:val="20"/>
      <w:lang w:val="en-US" w:eastAsia="da-DK"/>
    </w:rPr>
  </w:style>
  <w:style w:type="paragraph" w:styleId="Sidefod">
    <w:name w:val="footer"/>
    <w:basedOn w:val="Normal"/>
    <w:link w:val="SidefodTegn"/>
    <w:uiPriority w:val="99"/>
    <w:unhideWhenUsed/>
    <w:rsid w:val="00400A04"/>
    <w:pPr>
      <w:tabs>
        <w:tab w:val="center" w:pos="4819"/>
        <w:tab w:val="right" w:pos="9638"/>
      </w:tabs>
    </w:pPr>
  </w:style>
  <w:style w:type="character" w:customStyle="1" w:styleId="SidefodTegn">
    <w:name w:val="Sidefod Tegn"/>
    <w:basedOn w:val="Standardskrifttypeiafsnit"/>
    <w:link w:val="Sidefod"/>
    <w:uiPriority w:val="99"/>
    <w:rsid w:val="00400A04"/>
    <w:rPr>
      <w:rFonts w:ascii="Times New Roman" w:eastAsia="Times New Roman" w:hAnsi="Times New Roman" w:cs="Times New Roman"/>
      <w:sz w:val="24"/>
      <w:szCs w:val="20"/>
      <w:lang w:val="en-US" w:eastAsia="da-DK"/>
    </w:rPr>
  </w:style>
  <w:style w:type="table" w:styleId="Tabel-Gitter">
    <w:name w:val="Table Grid"/>
    <w:basedOn w:val="Tabel-Normal"/>
    <w:uiPriority w:val="59"/>
    <w:rsid w:val="00C748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afsnit">
    <w:name w:val="List Paragraph"/>
    <w:basedOn w:val="Normal"/>
    <w:uiPriority w:val="34"/>
    <w:qFormat/>
    <w:rsid w:val="00C41742"/>
    <w:pPr>
      <w:ind w:left="720"/>
      <w:contextualSpacing/>
    </w:pPr>
  </w:style>
  <w:style w:type="paragraph" w:styleId="Markeringsbobletekst">
    <w:name w:val="Balloon Text"/>
    <w:basedOn w:val="Normal"/>
    <w:link w:val="MarkeringsbobletekstTegn"/>
    <w:uiPriority w:val="99"/>
    <w:semiHidden/>
    <w:unhideWhenUsed/>
    <w:rsid w:val="008B0A03"/>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0A03"/>
    <w:rPr>
      <w:rFonts w:ascii="Tahoma" w:eastAsia="Times New Roman" w:hAnsi="Tahoma" w:cs="Tahoma"/>
      <w:sz w:val="16"/>
      <w:szCs w:val="16"/>
      <w:lang w:val="en-US" w:eastAsia="da-DK"/>
    </w:rPr>
  </w:style>
  <w:style w:type="character" w:styleId="Kommentarhenvisning">
    <w:name w:val="annotation reference"/>
    <w:basedOn w:val="Standardskrifttypeiafsnit"/>
    <w:uiPriority w:val="99"/>
    <w:semiHidden/>
    <w:unhideWhenUsed/>
    <w:rsid w:val="00073F47"/>
    <w:rPr>
      <w:sz w:val="16"/>
      <w:szCs w:val="16"/>
    </w:rPr>
  </w:style>
  <w:style w:type="paragraph" w:styleId="Kommentartekst">
    <w:name w:val="annotation text"/>
    <w:basedOn w:val="Normal"/>
    <w:link w:val="KommentartekstTegn"/>
    <w:uiPriority w:val="99"/>
    <w:unhideWhenUsed/>
    <w:rsid w:val="00073F47"/>
    <w:rPr>
      <w:sz w:val="20"/>
    </w:rPr>
  </w:style>
  <w:style w:type="character" w:customStyle="1" w:styleId="KommentartekstTegn">
    <w:name w:val="Kommentartekst Tegn"/>
    <w:basedOn w:val="Standardskrifttypeiafsnit"/>
    <w:link w:val="Kommentartekst"/>
    <w:uiPriority w:val="99"/>
    <w:rsid w:val="00073F47"/>
    <w:rPr>
      <w:rFonts w:ascii="Times New Roman" w:eastAsia="Times New Roman" w:hAnsi="Times New Roman" w:cs="Times New Roman"/>
      <w:sz w:val="20"/>
      <w:szCs w:val="20"/>
      <w:lang w:val="en-US" w:eastAsia="da-DK"/>
    </w:rPr>
  </w:style>
  <w:style w:type="paragraph" w:styleId="Kommentaremne">
    <w:name w:val="annotation subject"/>
    <w:basedOn w:val="Kommentartekst"/>
    <w:next w:val="Kommentartekst"/>
    <w:link w:val="KommentaremneTegn"/>
    <w:uiPriority w:val="99"/>
    <w:semiHidden/>
    <w:unhideWhenUsed/>
    <w:rsid w:val="00073F47"/>
    <w:rPr>
      <w:b/>
      <w:bCs/>
    </w:rPr>
  </w:style>
  <w:style w:type="character" w:customStyle="1" w:styleId="KommentaremneTegn">
    <w:name w:val="Kommentaremne Tegn"/>
    <w:basedOn w:val="KommentartekstTegn"/>
    <w:link w:val="Kommentaremne"/>
    <w:uiPriority w:val="99"/>
    <w:semiHidden/>
    <w:rsid w:val="00073F47"/>
    <w:rPr>
      <w:rFonts w:ascii="Times New Roman" w:eastAsia="Times New Roman" w:hAnsi="Times New Roman" w:cs="Times New Roman"/>
      <w:b/>
      <w:bCs/>
      <w:sz w:val="20"/>
      <w:szCs w:val="20"/>
      <w:lang w:val="en-US" w:eastAsia="da-DK"/>
    </w:rPr>
  </w:style>
  <w:style w:type="character" w:styleId="Hyperlink">
    <w:name w:val="Hyperlink"/>
    <w:uiPriority w:val="99"/>
    <w:unhideWhenUsed/>
    <w:rsid w:val="004965D8"/>
    <w:rPr>
      <w:color w:val="0000FF"/>
      <w:u w:val="single"/>
    </w:rPr>
  </w:style>
  <w:style w:type="paragraph" w:styleId="Korrektur">
    <w:name w:val="Revision"/>
    <w:hidden/>
    <w:uiPriority w:val="99"/>
    <w:semiHidden/>
    <w:rsid w:val="001734FF"/>
    <w:pPr>
      <w:spacing w:after="0" w:line="240" w:lineRule="auto"/>
    </w:pPr>
    <w:rPr>
      <w:rFonts w:ascii="Times New Roman" w:eastAsia="Times New Roman" w:hAnsi="Times New Roman" w:cs="Times New Roman"/>
      <w:sz w:val="24"/>
      <w:szCs w:val="20"/>
      <w:lang w:val="en-US" w:eastAsia="da-DK"/>
    </w:rPr>
  </w:style>
  <w:style w:type="character" w:styleId="BesgtHyperlink">
    <w:name w:val="FollowedHyperlink"/>
    <w:basedOn w:val="Standardskrifttypeiafsnit"/>
    <w:uiPriority w:val="99"/>
    <w:semiHidden/>
    <w:unhideWhenUsed/>
    <w:rsid w:val="00D1498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9A0"/>
    <w:pPr>
      <w:spacing w:after="0" w:line="240" w:lineRule="auto"/>
    </w:pPr>
    <w:rPr>
      <w:rFonts w:ascii="Times New Roman" w:eastAsia="Times New Roman" w:hAnsi="Times New Roman" w:cs="Times New Roman"/>
      <w:sz w:val="24"/>
      <w:szCs w:val="20"/>
      <w:lang w:val="en-US"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400A04"/>
    <w:pPr>
      <w:tabs>
        <w:tab w:val="center" w:pos="4819"/>
        <w:tab w:val="right" w:pos="9638"/>
      </w:tabs>
    </w:pPr>
  </w:style>
  <w:style w:type="character" w:customStyle="1" w:styleId="SidehovedTegn">
    <w:name w:val="Sidehoved Tegn"/>
    <w:basedOn w:val="Standardskrifttypeiafsnit"/>
    <w:link w:val="Sidehoved"/>
    <w:uiPriority w:val="99"/>
    <w:rsid w:val="00400A04"/>
    <w:rPr>
      <w:rFonts w:ascii="Times New Roman" w:eastAsia="Times New Roman" w:hAnsi="Times New Roman" w:cs="Times New Roman"/>
      <w:sz w:val="24"/>
      <w:szCs w:val="20"/>
      <w:lang w:val="en-US" w:eastAsia="da-DK"/>
    </w:rPr>
  </w:style>
  <w:style w:type="paragraph" w:styleId="Sidefod">
    <w:name w:val="footer"/>
    <w:basedOn w:val="Normal"/>
    <w:link w:val="SidefodTegn"/>
    <w:uiPriority w:val="99"/>
    <w:unhideWhenUsed/>
    <w:rsid w:val="00400A04"/>
    <w:pPr>
      <w:tabs>
        <w:tab w:val="center" w:pos="4819"/>
        <w:tab w:val="right" w:pos="9638"/>
      </w:tabs>
    </w:pPr>
  </w:style>
  <w:style w:type="character" w:customStyle="1" w:styleId="SidefodTegn">
    <w:name w:val="Sidefod Tegn"/>
    <w:basedOn w:val="Standardskrifttypeiafsnit"/>
    <w:link w:val="Sidefod"/>
    <w:uiPriority w:val="99"/>
    <w:rsid w:val="00400A04"/>
    <w:rPr>
      <w:rFonts w:ascii="Times New Roman" w:eastAsia="Times New Roman" w:hAnsi="Times New Roman" w:cs="Times New Roman"/>
      <w:sz w:val="24"/>
      <w:szCs w:val="20"/>
      <w:lang w:val="en-US" w:eastAsia="da-DK"/>
    </w:rPr>
  </w:style>
  <w:style w:type="table" w:styleId="Tabel-Gitter">
    <w:name w:val="Table Grid"/>
    <w:basedOn w:val="Tabel-Normal"/>
    <w:uiPriority w:val="59"/>
    <w:rsid w:val="00C748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afsnit">
    <w:name w:val="List Paragraph"/>
    <w:basedOn w:val="Normal"/>
    <w:uiPriority w:val="34"/>
    <w:qFormat/>
    <w:rsid w:val="00C41742"/>
    <w:pPr>
      <w:ind w:left="720"/>
      <w:contextualSpacing/>
    </w:pPr>
  </w:style>
  <w:style w:type="paragraph" w:styleId="Markeringsbobletekst">
    <w:name w:val="Balloon Text"/>
    <w:basedOn w:val="Normal"/>
    <w:link w:val="MarkeringsbobletekstTegn"/>
    <w:uiPriority w:val="99"/>
    <w:semiHidden/>
    <w:unhideWhenUsed/>
    <w:rsid w:val="008B0A03"/>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0A03"/>
    <w:rPr>
      <w:rFonts w:ascii="Tahoma" w:eastAsia="Times New Roman" w:hAnsi="Tahoma" w:cs="Tahoma"/>
      <w:sz w:val="16"/>
      <w:szCs w:val="16"/>
      <w:lang w:val="en-US" w:eastAsia="da-DK"/>
    </w:rPr>
  </w:style>
  <w:style w:type="character" w:styleId="Kommentarhenvisning">
    <w:name w:val="annotation reference"/>
    <w:basedOn w:val="Standardskrifttypeiafsnit"/>
    <w:uiPriority w:val="99"/>
    <w:semiHidden/>
    <w:unhideWhenUsed/>
    <w:rsid w:val="00073F47"/>
    <w:rPr>
      <w:sz w:val="16"/>
      <w:szCs w:val="16"/>
    </w:rPr>
  </w:style>
  <w:style w:type="paragraph" w:styleId="Kommentartekst">
    <w:name w:val="annotation text"/>
    <w:basedOn w:val="Normal"/>
    <w:link w:val="KommentartekstTegn"/>
    <w:uiPriority w:val="99"/>
    <w:unhideWhenUsed/>
    <w:rsid w:val="00073F47"/>
    <w:rPr>
      <w:sz w:val="20"/>
    </w:rPr>
  </w:style>
  <w:style w:type="character" w:customStyle="1" w:styleId="KommentartekstTegn">
    <w:name w:val="Kommentartekst Tegn"/>
    <w:basedOn w:val="Standardskrifttypeiafsnit"/>
    <w:link w:val="Kommentartekst"/>
    <w:uiPriority w:val="99"/>
    <w:rsid w:val="00073F47"/>
    <w:rPr>
      <w:rFonts w:ascii="Times New Roman" w:eastAsia="Times New Roman" w:hAnsi="Times New Roman" w:cs="Times New Roman"/>
      <w:sz w:val="20"/>
      <w:szCs w:val="20"/>
      <w:lang w:val="en-US" w:eastAsia="da-DK"/>
    </w:rPr>
  </w:style>
  <w:style w:type="paragraph" w:styleId="Kommentaremne">
    <w:name w:val="annotation subject"/>
    <w:basedOn w:val="Kommentartekst"/>
    <w:next w:val="Kommentartekst"/>
    <w:link w:val="KommentaremneTegn"/>
    <w:uiPriority w:val="99"/>
    <w:semiHidden/>
    <w:unhideWhenUsed/>
    <w:rsid w:val="00073F47"/>
    <w:rPr>
      <w:b/>
      <w:bCs/>
    </w:rPr>
  </w:style>
  <w:style w:type="character" w:customStyle="1" w:styleId="KommentaremneTegn">
    <w:name w:val="Kommentaremne Tegn"/>
    <w:basedOn w:val="KommentartekstTegn"/>
    <w:link w:val="Kommentaremne"/>
    <w:uiPriority w:val="99"/>
    <w:semiHidden/>
    <w:rsid w:val="00073F47"/>
    <w:rPr>
      <w:rFonts w:ascii="Times New Roman" w:eastAsia="Times New Roman" w:hAnsi="Times New Roman" w:cs="Times New Roman"/>
      <w:b/>
      <w:bCs/>
      <w:sz w:val="20"/>
      <w:szCs w:val="20"/>
      <w:lang w:val="en-US" w:eastAsia="da-DK"/>
    </w:rPr>
  </w:style>
  <w:style w:type="character" w:styleId="Hyperlink">
    <w:name w:val="Hyperlink"/>
    <w:uiPriority w:val="99"/>
    <w:unhideWhenUsed/>
    <w:rsid w:val="004965D8"/>
    <w:rPr>
      <w:color w:val="0000FF"/>
      <w:u w:val="single"/>
    </w:rPr>
  </w:style>
  <w:style w:type="paragraph" w:styleId="Korrektur">
    <w:name w:val="Revision"/>
    <w:hidden/>
    <w:uiPriority w:val="99"/>
    <w:semiHidden/>
    <w:rsid w:val="001734FF"/>
    <w:pPr>
      <w:spacing w:after="0" w:line="240" w:lineRule="auto"/>
    </w:pPr>
    <w:rPr>
      <w:rFonts w:ascii="Times New Roman" w:eastAsia="Times New Roman" w:hAnsi="Times New Roman" w:cs="Times New Roman"/>
      <w:sz w:val="24"/>
      <w:szCs w:val="20"/>
      <w:lang w:val="en-US" w:eastAsia="da-DK"/>
    </w:rPr>
  </w:style>
  <w:style w:type="character" w:styleId="BesgtHyperlink">
    <w:name w:val="FollowedHyperlink"/>
    <w:basedOn w:val="Standardskrifttypeiafsnit"/>
    <w:uiPriority w:val="99"/>
    <w:semiHidden/>
    <w:unhideWhenUsed/>
    <w:rsid w:val="00D149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73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Dropbox\%5b2%5d%20Arbejde\%5b3%5d%20Protokol%20-%20SSRIs%20(4076)\Baggrundslitteratur\Midlertidige%20figure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ropbox\%5b2%5d%20Arbejde\%5b3%5d%20Protokol%20-%20SSRIs%20(4076)\Baggrundslitteratur\Midlertidige%20figurer.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Anton\Dropbox\%5b2%5d%20Arbejde\%5b3%5d%20Protokol%20-%20SSRIs%20(4076)\Baggrundslitteratur\Midlertidige%20figure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'Ark1'!$B$1</c:f>
              <c:strCache>
                <c:ptCount val="1"/>
                <c:pt idx="0">
                  <c:v>Boys, 5-12</c:v>
                </c:pt>
              </c:strCache>
            </c:strRef>
          </c:tx>
          <c:marker>
            <c:symbol val="none"/>
          </c:marker>
          <c:cat>
            <c:numRef>
              <c:f>'Ark1'!$A$2:$A$16</c:f>
              <c:numCache>
                <c:formatCode>General</c:formatCode>
                <c:ptCount val="15"/>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numCache>
            </c:numRef>
          </c:cat>
          <c:val>
            <c:numRef>
              <c:f>'Ark1'!$B$2:$B$16</c:f>
              <c:numCache>
                <c:formatCode>General</c:formatCode>
                <c:ptCount val="15"/>
                <c:pt idx="0">
                  <c:v>0.3000000000000001</c:v>
                </c:pt>
                <c:pt idx="1">
                  <c:v>0.3000000000000001</c:v>
                </c:pt>
                <c:pt idx="2">
                  <c:v>0.5</c:v>
                </c:pt>
                <c:pt idx="3">
                  <c:v>0.8</c:v>
                </c:pt>
                <c:pt idx="4">
                  <c:v>1</c:v>
                </c:pt>
                <c:pt idx="5">
                  <c:v>1</c:v>
                </c:pt>
                <c:pt idx="6">
                  <c:v>1.1000000000000001</c:v>
                </c:pt>
                <c:pt idx="7">
                  <c:v>0.9</c:v>
                </c:pt>
                <c:pt idx="8">
                  <c:v>1.2</c:v>
                </c:pt>
                <c:pt idx="9">
                  <c:v>1.6</c:v>
                </c:pt>
                <c:pt idx="10">
                  <c:v>1.4</c:v>
                </c:pt>
                <c:pt idx="11">
                  <c:v>1.7000000000000002</c:v>
                </c:pt>
                <c:pt idx="12">
                  <c:v>1.9000000000000001</c:v>
                </c:pt>
                <c:pt idx="13">
                  <c:v>2.2000000000000002</c:v>
                </c:pt>
                <c:pt idx="14">
                  <c:v>2.4</c:v>
                </c:pt>
              </c:numCache>
            </c:numRef>
          </c:val>
          <c:smooth val="0"/>
        </c:ser>
        <c:ser>
          <c:idx val="1"/>
          <c:order val="1"/>
          <c:tx>
            <c:strRef>
              <c:f>'Ark1'!$C$1</c:f>
              <c:strCache>
                <c:ptCount val="1"/>
                <c:pt idx="0">
                  <c:v>Boys, 13-17</c:v>
                </c:pt>
              </c:strCache>
            </c:strRef>
          </c:tx>
          <c:marker>
            <c:symbol val="none"/>
          </c:marker>
          <c:cat>
            <c:numRef>
              <c:f>'Ark1'!$A$2:$A$16</c:f>
              <c:numCache>
                <c:formatCode>General</c:formatCode>
                <c:ptCount val="15"/>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numCache>
            </c:numRef>
          </c:cat>
          <c:val>
            <c:numRef>
              <c:f>'Ark1'!$C$2:$C$16</c:f>
              <c:numCache>
                <c:formatCode>General</c:formatCode>
                <c:ptCount val="15"/>
                <c:pt idx="0">
                  <c:v>3</c:v>
                </c:pt>
                <c:pt idx="1">
                  <c:v>4</c:v>
                </c:pt>
                <c:pt idx="2">
                  <c:v>4</c:v>
                </c:pt>
                <c:pt idx="3">
                  <c:v>5</c:v>
                </c:pt>
                <c:pt idx="4">
                  <c:v>3</c:v>
                </c:pt>
                <c:pt idx="5">
                  <c:v>6</c:v>
                </c:pt>
                <c:pt idx="6">
                  <c:v>6</c:v>
                </c:pt>
                <c:pt idx="7">
                  <c:v>4</c:v>
                </c:pt>
                <c:pt idx="8">
                  <c:v>5</c:v>
                </c:pt>
                <c:pt idx="9">
                  <c:v>5</c:v>
                </c:pt>
                <c:pt idx="10">
                  <c:v>6</c:v>
                </c:pt>
                <c:pt idx="11">
                  <c:v>7</c:v>
                </c:pt>
                <c:pt idx="12">
                  <c:v>6</c:v>
                </c:pt>
                <c:pt idx="13">
                  <c:v>8</c:v>
                </c:pt>
                <c:pt idx="14">
                  <c:v>9</c:v>
                </c:pt>
              </c:numCache>
            </c:numRef>
          </c:val>
          <c:smooth val="0"/>
        </c:ser>
        <c:ser>
          <c:idx val="2"/>
          <c:order val="2"/>
          <c:tx>
            <c:strRef>
              <c:f>'Ark1'!$D$1</c:f>
              <c:strCache>
                <c:ptCount val="1"/>
                <c:pt idx="0">
                  <c:v>Girls, 5-12</c:v>
                </c:pt>
              </c:strCache>
            </c:strRef>
          </c:tx>
          <c:marker>
            <c:symbol val="none"/>
          </c:marker>
          <c:cat>
            <c:numRef>
              <c:f>'Ark1'!$A$2:$A$16</c:f>
              <c:numCache>
                <c:formatCode>General</c:formatCode>
                <c:ptCount val="15"/>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numCache>
            </c:numRef>
          </c:cat>
          <c:val>
            <c:numRef>
              <c:f>'Ark1'!$D$2:$D$16</c:f>
              <c:numCache>
                <c:formatCode>General</c:formatCode>
                <c:ptCount val="15"/>
                <c:pt idx="0">
                  <c:v>1</c:v>
                </c:pt>
                <c:pt idx="1">
                  <c:v>1</c:v>
                </c:pt>
                <c:pt idx="2">
                  <c:v>1</c:v>
                </c:pt>
                <c:pt idx="3">
                  <c:v>2</c:v>
                </c:pt>
                <c:pt idx="4">
                  <c:v>1</c:v>
                </c:pt>
                <c:pt idx="5">
                  <c:v>3</c:v>
                </c:pt>
                <c:pt idx="6">
                  <c:v>2</c:v>
                </c:pt>
                <c:pt idx="7">
                  <c:v>3</c:v>
                </c:pt>
                <c:pt idx="8">
                  <c:v>4</c:v>
                </c:pt>
                <c:pt idx="9">
                  <c:v>3</c:v>
                </c:pt>
                <c:pt idx="10">
                  <c:v>4</c:v>
                </c:pt>
                <c:pt idx="11">
                  <c:v>3</c:v>
                </c:pt>
                <c:pt idx="12">
                  <c:v>5</c:v>
                </c:pt>
                <c:pt idx="13">
                  <c:v>6</c:v>
                </c:pt>
                <c:pt idx="14">
                  <c:v>5</c:v>
                </c:pt>
              </c:numCache>
            </c:numRef>
          </c:val>
          <c:smooth val="0"/>
        </c:ser>
        <c:ser>
          <c:idx val="3"/>
          <c:order val="3"/>
          <c:tx>
            <c:strRef>
              <c:f>'Ark1'!$E$1</c:f>
              <c:strCache>
                <c:ptCount val="1"/>
                <c:pt idx="0">
                  <c:v>Girls, 13-17</c:v>
                </c:pt>
              </c:strCache>
            </c:strRef>
          </c:tx>
          <c:marker>
            <c:symbol val="none"/>
          </c:marker>
          <c:cat>
            <c:numRef>
              <c:f>'Ark1'!$A$2:$A$16</c:f>
              <c:numCache>
                <c:formatCode>General</c:formatCode>
                <c:ptCount val="15"/>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numCache>
            </c:numRef>
          </c:cat>
          <c:val>
            <c:numRef>
              <c:f>'Ark1'!$E$2:$E$16</c:f>
              <c:numCache>
                <c:formatCode>General</c:formatCode>
                <c:ptCount val="15"/>
                <c:pt idx="0">
                  <c:v>4</c:v>
                </c:pt>
                <c:pt idx="1">
                  <c:v>5</c:v>
                </c:pt>
                <c:pt idx="2">
                  <c:v>6</c:v>
                </c:pt>
                <c:pt idx="3">
                  <c:v>7</c:v>
                </c:pt>
                <c:pt idx="4">
                  <c:v>6</c:v>
                </c:pt>
                <c:pt idx="5">
                  <c:v>7</c:v>
                </c:pt>
                <c:pt idx="6">
                  <c:v>8</c:v>
                </c:pt>
                <c:pt idx="7">
                  <c:v>6</c:v>
                </c:pt>
                <c:pt idx="8">
                  <c:v>7</c:v>
                </c:pt>
                <c:pt idx="9">
                  <c:v>8</c:v>
                </c:pt>
                <c:pt idx="10">
                  <c:v>9</c:v>
                </c:pt>
                <c:pt idx="11">
                  <c:v>10</c:v>
                </c:pt>
                <c:pt idx="12">
                  <c:v>13</c:v>
                </c:pt>
                <c:pt idx="13">
                  <c:v>14</c:v>
                </c:pt>
                <c:pt idx="14">
                  <c:v>13</c:v>
                </c:pt>
              </c:numCache>
            </c:numRef>
          </c:val>
          <c:smooth val="0"/>
        </c:ser>
        <c:dLbls>
          <c:showLegendKey val="0"/>
          <c:showVal val="0"/>
          <c:showCatName val="0"/>
          <c:showSerName val="0"/>
          <c:showPercent val="0"/>
          <c:showBubbleSize val="0"/>
        </c:dLbls>
        <c:marker val="1"/>
        <c:smooth val="0"/>
        <c:axId val="48705536"/>
        <c:axId val="48707456"/>
      </c:lineChart>
      <c:catAx>
        <c:axId val="48705536"/>
        <c:scaling>
          <c:orientation val="minMax"/>
        </c:scaling>
        <c:delete val="0"/>
        <c:axPos val="b"/>
        <c:title>
          <c:tx>
            <c:rich>
              <a:bodyPr/>
              <a:lstStyle/>
              <a:p>
                <a:pPr>
                  <a:defRPr/>
                </a:pPr>
                <a:r>
                  <a:rPr lang="da-DK"/>
                  <a:t>Year</a:t>
                </a:r>
              </a:p>
            </c:rich>
          </c:tx>
          <c:overlay val="0"/>
        </c:title>
        <c:numFmt formatCode="General" sourceLinked="1"/>
        <c:majorTickMark val="none"/>
        <c:minorTickMark val="none"/>
        <c:tickLblPos val="nextTo"/>
        <c:crossAx val="48707456"/>
        <c:crosses val="autoZero"/>
        <c:auto val="1"/>
        <c:lblAlgn val="ctr"/>
        <c:lblOffset val="100"/>
        <c:noMultiLvlLbl val="0"/>
      </c:catAx>
      <c:valAx>
        <c:axId val="48707456"/>
        <c:scaling>
          <c:orientation val="minMax"/>
        </c:scaling>
        <c:delete val="0"/>
        <c:axPos val="l"/>
        <c:majorGridlines/>
        <c:title>
          <c:tx>
            <c:rich>
              <a:bodyPr/>
              <a:lstStyle/>
              <a:p>
                <a:pPr>
                  <a:defRPr/>
                </a:pPr>
                <a:r>
                  <a:rPr lang="da-DK"/>
                  <a:t>Incidence</a:t>
                </a:r>
                <a:r>
                  <a:rPr lang="da-DK" baseline="0"/>
                  <a:t> proportion </a:t>
                </a:r>
              </a:p>
              <a:p>
                <a:pPr>
                  <a:defRPr/>
                </a:pPr>
                <a:r>
                  <a:rPr lang="da-DK" baseline="0"/>
                  <a:t>(per 1,000 children)</a:t>
                </a:r>
              </a:p>
            </c:rich>
          </c:tx>
          <c:overlay val="0"/>
        </c:title>
        <c:numFmt formatCode="General" sourceLinked="1"/>
        <c:majorTickMark val="out"/>
        <c:minorTickMark val="none"/>
        <c:tickLblPos val="nextTo"/>
        <c:crossAx val="4870553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'Ark1'!$H$1</c:f>
              <c:strCache>
                <c:ptCount val="1"/>
                <c:pt idx="0">
                  <c:v>Boys, 5-12</c:v>
                </c:pt>
              </c:strCache>
            </c:strRef>
          </c:tx>
          <c:marker>
            <c:symbol val="none"/>
          </c:marker>
          <c:cat>
            <c:numRef>
              <c:f>'Ark1'!$G$2:$G$18</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'Ark1'!$H$2:$H$18</c:f>
              <c:numCache>
                <c:formatCode>General</c:formatCode>
                <c:ptCount val="17"/>
                <c:pt idx="0">
                  <c:v>0.83187874521285599</c:v>
                </c:pt>
                <c:pt idx="1">
                  <c:v>0.74164572820129326</c:v>
                </c:pt>
                <c:pt idx="2">
                  <c:v>1.3746543771926198</c:v>
                </c:pt>
                <c:pt idx="3">
                  <c:v>1.882601667326927</c:v>
                </c:pt>
                <c:pt idx="4">
                  <c:v>2.83896522966432</c:v>
                </c:pt>
                <c:pt idx="5">
                  <c:v>2.304021762293079</c:v>
                </c:pt>
                <c:pt idx="6">
                  <c:v>2.9949596341620177</c:v>
                </c:pt>
                <c:pt idx="7">
                  <c:v>2.498999285717951</c:v>
                </c:pt>
                <c:pt idx="8">
                  <c:v>3.1520061931459367</c:v>
                </c:pt>
                <c:pt idx="9">
                  <c:v>3.4190328848479399</c:v>
                </c:pt>
                <c:pt idx="10">
                  <c:v>3.0968047356930777</c:v>
                </c:pt>
                <c:pt idx="11">
                  <c:v>4.916626737427948</c:v>
                </c:pt>
                <c:pt idx="12">
                  <c:v>4.0272890226686906</c:v>
                </c:pt>
                <c:pt idx="13">
                  <c:v>5.6951318299934659</c:v>
                </c:pt>
                <c:pt idx="14">
                  <c:v>6.1167760640756086</c:v>
                </c:pt>
                <c:pt idx="15">
                  <c:v>4.7546089979451427</c:v>
                </c:pt>
                <c:pt idx="16">
                  <c:v>6.9038143587641789</c:v>
                </c:pt>
              </c:numCache>
            </c:numRef>
          </c:val>
          <c:smooth val="0"/>
        </c:ser>
        <c:ser>
          <c:idx val="1"/>
          <c:order val="1"/>
          <c:tx>
            <c:strRef>
              <c:f>'Ark1'!$I$1</c:f>
              <c:strCache>
                <c:ptCount val="1"/>
                <c:pt idx="0">
                  <c:v>Boys, 13-17</c:v>
                </c:pt>
              </c:strCache>
            </c:strRef>
          </c:tx>
          <c:marker>
            <c:symbol val="none"/>
          </c:marker>
          <c:cat>
            <c:numRef>
              <c:f>'Ark1'!$G$2:$G$18</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'Ark1'!$I$2:$I$18</c:f>
              <c:numCache>
                <c:formatCode>General</c:formatCode>
                <c:ptCount val="17"/>
                <c:pt idx="0">
                  <c:v>6.7337520803249022</c:v>
                </c:pt>
                <c:pt idx="1">
                  <c:v>8.4336527091661218</c:v>
                </c:pt>
                <c:pt idx="2">
                  <c:v>8.4250145405157877</c:v>
                </c:pt>
                <c:pt idx="3">
                  <c:v>13.449485834094267</c:v>
                </c:pt>
                <c:pt idx="4">
                  <c:v>6.0748069963778306</c:v>
                </c:pt>
                <c:pt idx="5">
                  <c:v>15.735921413484116</c:v>
                </c:pt>
                <c:pt idx="6">
                  <c:v>16.241743390262148</c:v>
                </c:pt>
                <c:pt idx="7">
                  <c:v>8.9574866101175115</c:v>
                </c:pt>
                <c:pt idx="8">
                  <c:v>14.848119288072628</c:v>
                </c:pt>
                <c:pt idx="9">
                  <c:v>14.544932408275598</c:v>
                </c:pt>
                <c:pt idx="10">
                  <c:v>15.97106022847702</c:v>
                </c:pt>
                <c:pt idx="11">
                  <c:v>18.132846951832441</c:v>
                </c:pt>
                <c:pt idx="12">
                  <c:v>13.099538605946064</c:v>
                </c:pt>
                <c:pt idx="13">
                  <c:v>20.762288605717622</c:v>
                </c:pt>
                <c:pt idx="14">
                  <c:v>26.047219020172122</c:v>
                </c:pt>
                <c:pt idx="15">
                  <c:v>22.437392105563319</c:v>
                </c:pt>
                <c:pt idx="16">
                  <c:v>24.575554408841828</c:v>
                </c:pt>
              </c:numCache>
            </c:numRef>
          </c:val>
          <c:smooth val="0"/>
        </c:ser>
        <c:ser>
          <c:idx val="2"/>
          <c:order val="2"/>
          <c:tx>
            <c:strRef>
              <c:f>'Ark1'!$J$1</c:f>
              <c:strCache>
                <c:ptCount val="1"/>
                <c:pt idx="0">
                  <c:v>Girls, 5-12</c:v>
                </c:pt>
              </c:strCache>
            </c:strRef>
          </c:tx>
          <c:marker>
            <c:symbol val="none"/>
          </c:marker>
          <c:cat>
            <c:numRef>
              <c:f>'Ark1'!$G$2:$G$18</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'Ark1'!$J$2:$J$18</c:f>
              <c:numCache>
                <c:formatCode>General</c:formatCode>
                <c:ptCount val="17"/>
                <c:pt idx="0">
                  <c:v>2.3827829649008208</c:v>
                </c:pt>
                <c:pt idx="1">
                  <c:v>2.1809051715137437</c:v>
                </c:pt>
                <c:pt idx="2">
                  <c:v>2.997268821570378</c:v>
                </c:pt>
                <c:pt idx="3">
                  <c:v>4.2284812214520278</c:v>
                </c:pt>
                <c:pt idx="4">
                  <c:v>2.6428783458960887</c:v>
                </c:pt>
                <c:pt idx="5">
                  <c:v>7.4174201954303758</c:v>
                </c:pt>
                <c:pt idx="6">
                  <c:v>4.9842361909214619</c:v>
                </c:pt>
                <c:pt idx="7">
                  <c:v>6.1803615532458815</c:v>
                </c:pt>
                <c:pt idx="8">
                  <c:v>8.4115586742813502</c:v>
                </c:pt>
                <c:pt idx="9">
                  <c:v>6.2177844336320076</c:v>
                </c:pt>
                <c:pt idx="10">
                  <c:v>9.5876276850697817</c:v>
                </c:pt>
                <c:pt idx="11">
                  <c:v>6.6994103844924187</c:v>
                </c:pt>
                <c:pt idx="12">
                  <c:v>12.99167985161772</c:v>
                </c:pt>
                <c:pt idx="13">
                  <c:v>15.492310038057569</c:v>
                </c:pt>
                <c:pt idx="14">
                  <c:v>13.53592551521092</c:v>
                </c:pt>
                <c:pt idx="15">
                  <c:v>11.237517350032498</c:v>
                </c:pt>
                <c:pt idx="16">
                  <c:v>15.555114293986938</c:v>
                </c:pt>
              </c:numCache>
            </c:numRef>
          </c:val>
          <c:smooth val="0"/>
        </c:ser>
        <c:ser>
          <c:idx val="3"/>
          <c:order val="3"/>
          <c:tx>
            <c:strRef>
              <c:f>'Ark1'!$K$1</c:f>
              <c:strCache>
                <c:ptCount val="1"/>
                <c:pt idx="0">
                  <c:v>Girls, 13-17</c:v>
                </c:pt>
              </c:strCache>
            </c:strRef>
          </c:tx>
          <c:marker>
            <c:symbol val="none"/>
          </c:marker>
          <c:cat>
            <c:numRef>
              <c:f>'Ark1'!$G$2:$G$18</c:f>
              <c:numCache>
                <c:formatCode>General</c:formatCode>
                <c:ptCount val="17"/>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numCache>
            </c:numRef>
          </c:cat>
          <c:val>
            <c:numRef>
              <c:f>'Ark1'!$K$2:$K$18</c:f>
              <c:numCache>
                <c:formatCode>General</c:formatCode>
                <c:ptCount val="17"/>
                <c:pt idx="0">
                  <c:v>8.6270472602033017</c:v>
                </c:pt>
                <c:pt idx="1">
                  <c:v>12.840422758988703</c:v>
                </c:pt>
                <c:pt idx="2">
                  <c:v>17.420445722983892</c:v>
                </c:pt>
                <c:pt idx="3">
                  <c:v>17.980680676896075</c:v>
                </c:pt>
                <c:pt idx="4">
                  <c:v>17.396758681521213</c:v>
                </c:pt>
                <c:pt idx="5">
                  <c:v>17.756261469238435</c:v>
                </c:pt>
                <c:pt idx="6">
                  <c:v>23.964936809998559</c:v>
                </c:pt>
                <c:pt idx="7">
                  <c:v>13.998377453298756</c:v>
                </c:pt>
                <c:pt idx="8">
                  <c:v>14.497630958518503</c:v>
                </c:pt>
                <c:pt idx="9">
                  <c:v>22.173014126995078</c:v>
                </c:pt>
                <c:pt idx="10">
                  <c:v>19.984997878848365</c:v>
                </c:pt>
                <c:pt idx="11">
                  <c:v>23.521998550524611</c:v>
                </c:pt>
                <c:pt idx="12">
                  <c:v>33.177888992777852</c:v>
                </c:pt>
                <c:pt idx="13">
                  <c:v>32.097570046742206</c:v>
                </c:pt>
                <c:pt idx="14">
                  <c:v>38.759554966662293</c:v>
                </c:pt>
                <c:pt idx="15">
                  <c:v>33.608410631821016</c:v>
                </c:pt>
                <c:pt idx="16">
                  <c:v>41.861858611681583</c:v>
                </c:pt>
              </c:numCache>
            </c:numRef>
          </c:val>
          <c:smooth val="0"/>
        </c:ser>
        <c:dLbls>
          <c:showLegendKey val="0"/>
          <c:showVal val="0"/>
          <c:showCatName val="0"/>
          <c:showSerName val="0"/>
          <c:showPercent val="0"/>
          <c:showBubbleSize val="0"/>
        </c:dLbls>
        <c:marker val="1"/>
        <c:smooth val="0"/>
        <c:axId val="48730496"/>
        <c:axId val="48732416"/>
      </c:lineChart>
      <c:catAx>
        <c:axId val="48730496"/>
        <c:scaling>
          <c:orientation val="minMax"/>
        </c:scaling>
        <c:delete val="0"/>
        <c:axPos val="b"/>
        <c:title>
          <c:tx>
            <c:rich>
              <a:bodyPr/>
              <a:lstStyle/>
              <a:p>
                <a:pPr>
                  <a:defRPr/>
                </a:pPr>
                <a:r>
                  <a:rPr lang="da-DK"/>
                  <a:t>Year</a:t>
                </a:r>
              </a:p>
            </c:rich>
          </c:tx>
          <c:overlay val="0"/>
        </c:title>
        <c:numFmt formatCode="General" sourceLinked="1"/>
        <c:majorTickMark val="none"/>
        <c:minorTickMark val="none"/>
        <c:tickLblPos val="nextTo"/>
        <c:crossAx val="48732416"/>
        <c:crosses val="autoZero"/>
        <c:auto val="1"/>
        <c:lblAlgn val="ctr"/>
        <c:lblOffset val="100"/>
        <c:noMultiLvlLbl val="0"/>
      </c:catAx>
      <c:valAx>
        <c:axId val="48732416"/>
        <c:scaling>
          <c:orientation val="minMax"/>
        </c:scaling>
        <c:delete val="0"/>
        <c:axPos val="l"/>
        <c:majorGridlines/>
        <c:title>
          <c:tx>
            <c:rich>
              <a:bodyPr/>
              <a:lstStyle/>
              <a:p>
                <a:pPr>
                  <a:defRPr/>
                </a:pPr>
                <a:r>
                  <a:rPr lang="da-DK"/>
                  <a:t>Prevalence proportion </a:t>
                </a:r>
                <a:br>
                  <a:rPr lang="da-DK"/>
                </a:br>
                <a:r>
                  <a:rPr lang="da-DK"/>
                  <a:t>(per</a:t>
                </a:r>
                <a:r>
                  <a:rPr lang="da-DK" baseline="0"/>
                  <a:t> 1,000 children)</a:t>
                </a:r>
                <a:endParaRPr lang="da-DK"/>
              </a:p>
            </c:rich>
          </c:tx>
          <c:overlay val="0"/>
        </c:title>
        <c:numFmt formatCode="General" sourceLinked="1"/>
        <c:majorTickMark val="out"/>
        <c:minorTickMark val="none"/>
        <c:tickLblPos val="nextTo"/>
        <c:crossAx val="4873049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'Ark2'!$B$1</c:f>
              <c:strCache>
                <c:ptCount val="1"/>
                <c:pt idx="0">
                  <c:v>Boys</c:v>
                </c:pt>
              </c:strCache>
            </c:strRef>
          </c:tx>
          <c:invertIfNegative val="0"/>
          <c:cat>
            <c:numRef>
              <c:f>'Ark2'!$A$2:$A$14</c:f>
              <c:numCache>
                <c:formatCode>General</c:formatCode>
                <c:ptCount val="13"/>
                <c:pt idx="0">
                  <c:v>5</c:v>
                </c:pt>
                <c:pt idx="1">
                  <c:v>6</c:v>
                </c:pt>
                <c:pt idx="2">
                  <c:v>7</c:v>
                </c:pt>
                <c:pt idx="3">
                  <c:v>8</c:v>
                </c:pt>
                <c:pt idx="4">
                  <c:v>9</c:v>
                </c:pt>
                <c:pt idx="5">
                  <c:v>10</c:v>
                </c:pt>
                <c:pt idx="6">
                  <c:v>11</c:v>
                </c:pt>
                <c:pt idx="7">
                  <c:v>12</c:v>
                </c:pt>
                <c:pt idx="8">
                  <c:v>13</c:v>
                </c:pt>
                <c:pt idx="9">
                  <c:v>14</c:v>
                </c:pt>
                <c:pt idx="10">
                  <c:v>15</c:v>
                </c:pt>
                <c:pt idx="11">
                  <c:v>16</c:v>
                </c:pt>
                <c:pt idx="12">
                  <c:v>17</c:v>
                </c:pt>
              </c:numCache>
            </c:numRef>
          </c:cat>
          <c:val>
            <c:numRef>
              <c:f>'Ark2'!$B$2:$B$14</c:f>
              <c:numCache>
                <c:formatCode>General</c:formatCode>
                <c:ptCount val="13"/>
                <c:pt idx="0">
                  <c:v>4.200000000000001E-2</c:v>
                </c:pt>
                <c:pt idx="1">
                  <c:v>7.1999999999999995E-2</c:v>
                </c:pt>
                <c:pt idx="2">
                  <c:v>7.1999999999999995E-2</c:v>
                </c:pt>
                <c:pt idx="3">
                  <c:v>9.6000000000000002E-2</c:v>
                </c:pt>
                <c:pt idx="4">
                  <c:v>0.19</c:v>
                </c:pt>
                <c:pt idx="5">
                  <c:v>0.15600000000000003</c:v>
                </c:pt>
                <c:pt idx="6">
                  <c:v>0.23800000000000002</c:v>
                </c:pt>
                <c:pt idx="7">
                  <c:v>0.20800000000000002</c:v>
                </c:pt>
                <c:pt idx="8">
                  <c:v>0.19800000000000001</c:v>
                </c:pt>
                <c:pt idx="9">
                  <c:v>0.22</c:v>
                </c:pt>
                <c:pt idx="10">
                  <c:v>0.24200000000000002</c:v>
                </c:pt>
                <c:pt idx="11">
                  <c:v>0.31200000000000006</c:v>
                </c:pt>
                <c:pt idx="12">
                  <c:v>0.28600000000000003</c:v>
                </c:pt>
              </c:numCache>
            </c:numRef>
          </c:val>
        </c:ser>
        <c:ser>
          <c:idx val="2"/>
          <c:order val="1"/>
          <c:tx>
            <c:strRef>
              <c:f>'Ark2'!$C$1</c:f>
              <c:strCache>
                <c:ptCount val="1"/>
                <c:pt idx="0">
                  <c:v>Girls</c:v>
                </c:pt>
              </c:strCache>
            </c:strRef>
          </c:tx>
          <c:spPr>
            <a:solidFill>
              <a:schemeClr val="accent1"/>
            </a:solidFill>
          </c:spPr>
          <c:invertIfNegative val="0"/>
          <c:cat>
            <c:numRef>
              <c:f>'Ark2'!$A$2:$A$14</c:f>
              <c:numCache>
                <c:formatCode>General</c:formatCode>
                <c:ptCount val="13"/>
                <c:pt idx="0">
                  <c:v>5</c:v>
                </c:pt>
                <c:pt idx="1">
                  <c:v>6</c:v>
                </c:pt>
                <c:pt idx="2">
                  <c:v>7</c:v>
                </c:pt>
                <c:pt idx="3">
                  <c:v>8</c:v>
                </c:pt>
                <c:pt idx="4">
                  <c:v>9</c:v>
                </c:pt>
                <c:pt idx="5">
                  <c:v>10</c:v>
                </c:pt>
                <c:pt idx="6">
                  <c:v>11</c:v>
                </c:pt>
                <c:pt idx="7">
                  <c:v>12</c:v>
                </c:pt>
                <c:pt idx="8">
                  <c:v>13</c:v>
                </c:pt>
                <c:pt idx="9">
                  <c:v>14</c:v>
                </c:pt>
                <c:pt idx="10">
                  <c:v>15</c:v>
                </c:pt>
                <c:pt idx="11">
                  <c:v>16</c:v>
                </c:pt>
                <c:pt idx="12">
                  <c:v>17</c:v>
                </c:pt>
              </c:numCache>
            </c:numRef>
          </c:cat>
          <c:val>
            <c:numRef>
              <c:f>'Ark2'!$C$2:$C$14</c:f>
              <c:numCache>
                <c:formatCode>General</c:formatCode>
                <c:ptCount val="13"/>
                <c:pt idx="0">
                  <c:v>7.1999999999999995E-2</c:v>
                </c:pt>
                <c:pt idx="1">
                  <c:v>0.13200000000000001</c:v>
                </c:pt>
                <c:pt idx="2">
                  <c:v>0.16200000000000001</c:v>
                </c:pt>
                <c:pt idx="3">
                  <c:v>0.21600000000000003</c:v>
                </c:pt>
                <c:pt idx="4">
                  <c:v>0.34</c:v>
                </c:pt>
                <c:pt idx="5">
                  <c:v>0.33600000000000008</c:v>
                </c:pt>
                <c:pt idx="6">
                  <c:v>0.44800000000000001</c:v>
                </c:pt>
                <c:pt idx="7">
                  <c:v>0.44800000000000001</c:v>
                </c:pt>
                <c:pt idx="8">
                  <c:v>0.46800000000000008</c:v>
                </c:pt>
                <c:pt idx="9">
                  <c:v>0.52</c:v>
                </c:pt>
                <c:pt idx="10">
                  <c:v>0.57199999999999995</c:v>
                </c:pt>
                <c:pt idx="11">
                  <c:v>0.67200000000000015</c:v>
                </c:pt>
                <c:pt idx="12">
                  <c:v>0.67600000000000016</c:v>
                </c:pt>
              </c:numCache>
            </c:numRef>
          </c:val>
        </c:ser>
        <c:dLbls>
          <c:showLegendKey val="0"/>
          <c:showVal val="0"/>
          <c:showCatName val="0"/>
          <c:showSerName val="0"/>
          <c:showPercent val="0"/>
          <c:showBubbleSize val="0"/>
        </c:dLbls>
        <c:gapWidth val="150"/>
        <c:axId val="48741376"/>
        <c:axId val="48747648"/>
      </c:barChart>
      <c:catAx>
        <c:axId val="48741376"/>
        <c:scaling>
          <c:orientation val="minMax"/>
        </c:scaling>
        <c:delete val="0"/>
        <c:axPos val="b"/>
        <c:title>
          <c:tx>
            <c:rich>
              <a:bodyPr/>
              <a:lstStyle/>
              <a:p>
                <a:pPr>
                  <a:defRPr/>
                </a:pPr>
                <a:r>
                  <a:rPr lang="da-DK"/>
                  <a:t>Age (years)</a:t>
                </a:r>
              </a:p>
            </c:rich>
          </c:tx>
          <c:overlay val="0"/>
        </c:title>
        <c:numFmt formatCode="General" sourceLinked="1"/>
        <c:majorTickMark val="none"/>
        <c:minorTickMark val="none"/>
        <c:tickLblPos val="nextTo"/>
        <c:crossAx val="48747648"/>
        <c:crosses val="autoZero"/>
        <c:auto val="0"/>
        <c:lblAlgn val="ctr"/>
        <c:lblOffset val="100"/>
        <c:noMultiLvlLbl val="0"/>
      </c:catAx>
      <c:valAx>
        <c:axId val="48747648"/>
        <c:scaling>
          <c:orientation val="minMax"/>
        </c:scaling>
        <c:delete val="0"/>
        <c:axPos val="l"/>
        <c:majorGridlines/>
        <c:title>
          <c:tx>
            <c:rich>
              <a:bodyPr/>
              <a:lstStyle/>
              <a:p>
                <a:pPr>
                  <a:defRPr/>
                </a:pPr>
                <a:r>
                  <a:rPr lang="da-DK"/>
                  <a:t>Prevalence proportions</a:t>
                </a:r>
              </a:p>
              <a:p>
                <a:pPr>
                  <a:defRPr/>
                </a:pPr>
                <a:r>
                  <a:rPr lang="da-DK"/>
                  <a:t>(per 1,000 children)</a:t>
                </a:r>
              </a:p>
            </c:rich>
          </c:tx>
          <c:overlay val="0"/>
        </c:title>
        <c:numFmt formatCode="General" sourceLinked="1"/>
        <c:majorTickMark val="out"/>
        <c:minorTickMark val="none"/>
        <c:tickLblPos val="nextTo"/>
        <c:crossAx val="4874137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11</Pages>
  <Words>3324</Words>
  <Characters>20283</Characters>
  <Application>Microsoft Office Word</Application>
  <DocSecurity>0</DocSecurity>
  <Lines>169</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Syddansk Unversitet - University of Southern Denmark</Company>
  <LinksUpToDate>false</LinksUpToDate>
  <CharactersWithSpaces>23560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Pottegård</dc:creator>
  <cp:keywords/>
  <dc:description/>
  <cp:lastModifiedBy>Anton Pottegård</cp:lastModifiedBy>
  <cp:revision>10</cp:revision>
  <cp:lastPrinted>2012-11-28T20:07:00Z</cp:lastPrinted>
  <dcterms:created xsi:type="dcterms:W3CDTF">2012-12-20T11:18:00Z</dcterms:created>
  <dcterms:modified xsi:type="dcterms:W3CDTF">2014-01-16T17:09:00Z</dcterms:modified>
</cp:coreProperties>
</file>